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98548" w14:textId="77777777" w:rsidR="00B52B61" w:rsidRPr="00B447E7" w:rsidRDefault="00B52B61" w:rsidP="00B52B61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447E7">
        <w:rPr>
          <w:rFonts w:ascii="Times New Roman" w:hAnsi="Times New Roman" w:cs="Times New Roman"/>
          <w:b/>
          <w:sz w:val="24"/>
          <w:szCs w:val="24"/>
        </w:rPr>
        <w:t xml:space="preserve">Supplementary Materials </w:t>
      </w:r>
    </w:p>
    <w:p w14:paraId="67FAC99D" w14:textId="77777777" w:rsidR="00B52B61" w:rsidRPr="00B447E7" w:rsidRDefault="00B52B61" w:rsidP="00B52B6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156E2F" w14:textId="77777777" w:rsidR="00B52B61" w:rsidRPr="00B447E7" w:rsidRDefault="00B52B61" w:rsidP="00B52B61">
      <w:p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sz w:val="20"/>
          <w:szCs w:val="20"/>
        </w:rPr>
        <w:t xml:space="preserve">  </w:t>
      </w:r>
      <w:r w:rsidRPr="00B447E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2030C9AF" w14:textId="77777777" w:rsidR="00B52B61" w:rsidRPr="00B447E7" w:rsidRDefault="00B52B61" w:rsidP="00B52B61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447E7">
        <w:rPr>
          <w:rFonts w:ascii="Times New Roman" w:eastAsia="Times New Roman" w:hAnsi="Times New Roman" w:cs="Times New Roman"/>
          <w:b/>
          <w:bCs/>
          <w:sz w:val="20"/>
          <w:szCs w:val="20"/>
        </w:rPr>
        <w:t>Table 1: Thy classification for thyroid cytology and equivalent Bethesda categories</w:t>
      </w:r>
      <w:r w:rsidRPr="00B447E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 xml:space="preserve">3,4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90"/>
        <w:gridCol w:w="2640"/>
        <w:gridCol w:w="1620"/>
        <w:gridCol w:w="3030"/>
      </w:tblGrid>
      <w:tr w:rsidR="00B52B61" w:rsidRPr="00B447E7" w14:paraId="348666A9" w14:textId="77777777" w:rsidTr="002073D0">
        <w:trPr>
          <w:trHeight w:val="566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F26E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Thy classification </w:t>
            </w:r>
          </w:p>
        </w:tc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0DC1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438A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Bethesda Classification </w:t>
            </w:r>
          </w:p>
        </w:tc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AEDE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</w:tr>
      <w:tr w:rsidR="00B52B61" w:rsidRPr="00B447E7" w14:paraId="5F47EDEE" w14:textId="77777777" w:rsidTr="002073D0">
        <w:trPr>
          <w:trHeight w:val="645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21AF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0A92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Non-diagnostic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4E44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6EA2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Non-diagnostic/unsatisfactory</w:t>
            </w:r>
          </w:p>
        </w:tc>
      </w:tr>
      <w:tr w:rsidR="00B52B61" w:rsidRPr="00B447E7" w14:paraId="07C2C5C5" w14:textId="77777777" w:rsidTr="002073D0">
        <w:trPr>
          <w:trHeight w:val="645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9C53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0653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Non-neoplastic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86C2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6378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Benign</w:t>
            </w:r>
          </w:p>
        </w:tc>
      </w:tr>
      <w:tr w:rsidR="00B52B61" w:rsidRPr="00B447E7" w14:paraId="049BBF74" w14:textId="77777777" w:rsidTr="002073D0">
        <w:trPr>
          <w:trHeight w:val="729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D282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AB0E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Neoplasm possible - atypical features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0C27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2CBB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Atypia/follicular lesion of undetermined significance (AUS/FLUS)</w:t>
            </w:r>
          </w:p>
        </w:tc>
      </w:tr>
      <w:tr w:rsidR="00B52B61" w:rsidRPr="00B447E7" w14:paraId="56A108AC" w14:textId="77777777" w:rsidTr="002073D0">
        <w:trPr>
          <w:trHeight w:val="771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7D7C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3f</w:t>
            </w:r>
          </w:p>
        </w:tc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EEAB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Follicular neoplasm possible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C9D2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63DE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Follicular neoplasm/suspicious of a follicular neoplasm</w:t>
            </w:r>
          </w:p>
        </w:tc>
      </w:tr>
      <w:tr w:rsidR="00B52B61" w:rsidRPr="00B447E7" w14:paraId="3478C882" w14:textId="77777777" w:rsidTr="002073D0">
        <w:trPr>
          <w:trHeight w:val="785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A432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F9B8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Suspicious of malignancy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BC85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0864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Suspicious of malignancy</w:t>
            </w:r>
          </w:p>
        </w:tc>
      </w:tr>
      <w:tr w:rsidR="00B52B61" w:rsidRPr="00B447E7" w14:paraId="5025A7E7" w14:textId="77777777" w:rsidTr="002073D0">
        <w:trPr>
          <w:trHeight w:val="771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F773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B08C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Diagnostic of malignancy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C66C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F5BB" w14:textId="77777777" w:rsidR="00B52B61" w:rsidRPr="00B447E7" w:rsidRDefault="00B52B61" w:rsidP="002073D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eastAsia="Times New Roman" w:hAnsi="Times New Roman" w:cs="Times New Roman"/>
                <w:sz w:val="16"/>
                <w:szCs w:val="16"/>
              </w:rPr>
              <w:t>Malignant</w:t>
            </w:r>
          </w:p>
        </w:tc>
      </w:tr>
    </w:tbl>
    <w:p w14:paraId="4FA71FC3" w14:textId="77777777" w:rsidR="00B52B61" w:rsidRPr="00B447E7" w:rsidRDefault="00B52B61" w:rsidP="00B52B61">
      <w:pPr>
        <w:spacing w:line="257" w:lineRule="auto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7A4EC9" w14:textId="77777777" w:rsidR="00B52B61" w:rsidRPr="00B447E7" w:rsidRDefault="00B52B61" w:rsidP="00B52B6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42D51C8" w14:textId="77777777" w:rsidR="00B52B61" w:rsidRPr="00B447E7" w:rsidRDefault="00B52B61" w:rsidP="00B52B6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A73A8D" w14:textId="77777777" w:rsidR="00B52B61" w:rsidRPr="00B447E7" w:rsidRDefault="00B52B61" w:rsidP="00B52B6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7E0558" w14:textId="77777777" w:rsidR="00B52B61" w:rsidRPr="00B447E7" w:rsidRDefault="00B52B61" w:rsidP="00B52B61">
      <w:pPr>
        <w:pStyle w:val="Heading6"/>
        <w:keepNext w:val="0"/>
        <w:keepLines w:val="0"/>
        <w:spacing w:after="40" w:line="313" w:lineRule="auto"/>
        <w:rPr>
          <w:rFonts w:ascii="Times New Roman" w:eastAsia="Arial" w:hAnsi="Times New Roman" w:cs="Times New Roman"/>
          <w:color w:val="1F3763"/>
          <w:sz w:val="20"/>
          <w:szCs w:val="20"/>
        </w:rPr>
      </w:pPr>
      <w:bookmarkStart w:id="0" w:name="_heading=h.nddf36u3vos3" w:colFirst="0" w:colLast="0"/>
      <w:bookmarkEnd w:id="0"/>
    </w:p>
    <w:p w14:paraId="609FDDCE" w14:textId="77777777" w:rsidR="00B52B61" w:rsidRDefault="00B52B61" w:rsidP="00B52B61">
      <w:pPr>
        <w:pStyle w:val="Heading6"/>
        <w:keepNext w:val="0"/>
        <w:keepLines w:val="0"/>
        <w:spacing w:after="40" w:line="313" w:lineRule="auto"/>
        <w:rPr>
          <w:rFonts w:ascii="Times New Roman" w:eastAsia="Arial" w:hAnsi="Times New Roman" w:cs="Times New Roman"/>
          <w:color w:val="1F3763"/>
          <w:sz w:val="20"/>
          <w:szCs w:val="20"/>
        </w:rPr>
      </w:pPr>
      <w:bookmarkStart w:id="1" w:name="_heading=h.hss9bee4szfv" w:colFirst="0" w:colLast="0"/>
      <w:bookmarkEnd w:id="1"/>
    </w:p>
    <w:p w14:paraId="700D03B2" w14:textId="77777777" w:rsidR="00B52B61" w:rsidRDefault="00B52B61" w:rsidP="00B52B61"/>
    <w:p w14:paraId="3E53B807" w14:textId="77777777" w:rsidR="00B52B61" w:rsidRDefault="00B52B61" w:rsidP="00B52B61"/>
    <w:p w14:paraId="2CC7C1D5" w14:textId="77777777" w:rsidR="00B52B61" w:rsidRDefault="00B52B61" w:rsidP="00B52B61"/>
    <w:p w14:paraId="0663C154" w14:textId="77777777" w:rsidR="00B52B61" w:rsidRPr="00B447E7" w:rsidRDefault="00B52B61" w:rsidP="00B52B61"/>
    <w:p w14:paraId="3BFC68CA" w14:textId="77777777" w:rsidR="00B52B61" w:rsidRPr="00B447E7" w:rsidRDefault="00B52B61" w:rsidP="00B52B61">
      <w:pPr>
        <w:pStyle w:val="Heading6"/>
        <w:keepNext w:val="0"/>
        <w:keepLines w:val="0"/>
        <w:spacing w:after="40" w:line="313" w:lineRule="auto"/>
        <w:rPr>
          <w:rFonts w:ascii="Times New Roman" w:eastAsia="Arial" w:hAnsi="Times New Roman" w:cs="Times New Roman"/>
          <w:color w:val="1F3763"/>
          <w:sz w:val="20"/>
          <w:szCs w:val="20"/>
        </w:rPr>
      </w:pPr>
      <w:bookmarkStart w:id="2" w:name="_heading=h.vx4240knmo46" w:colFirst="0" w:colLast="0"/>
      <w:bookmarkEnd w:id="2"/>
    </w:p>
    <w:p w14:paraId="5D4CECD7" w14:textId="77777777" w:rsidR="00B52B61" w:rsidRPr="00B447E7" w:rsidRDefault="00B52B61" w:rsidP="00B52B61">
      <w:pPr>
        <w:pStyle w:val="Heading6"/>
        <w:keepNext w:val="0"/>
        <w:keepLines w:val="0"/>
        <w:spacing w:after="40" w:line="313" w:lineRule="auto"/>
        <w:rPr>
          <w:rFonts w:ascii="Times New Roman" w:eastAsia="Arial" w:hAnsi="Times New Roman" w:cs="Times New Roman"/>
          <w:color w:val="1F3763"/>
          <w:sz w:val="20"/>
          <w:szCs w:val="20"/>
        </w:rPr>
      </w:pPr>
      <w:bookmarkStart w:id="3" w:name="_heading=h.p23eitq90txg" w:colFirst="0" w:colLast="0"/>
      <w:bookmarkEnd w:id="3"/>
    </w:p>
    <w:p w14:paraId="6B26DDAD" w14:textId="77777777" w:rsidR="00B52B61" w:rsidRPr="00B447E7" w:rsidRDefault="00B52B61" w:rsidP="00B52B61">
      <w:pPr>
        <w:rPr>
          <w:rFonts w:ascii="Times New Roman" w:hAnsi="Times New Roman" w:cs="Times New Roman"/>
          <w:sz w:val="20"/>
          <w:szCs w:val="20"/>
        </w:rPr>
      </w:pPr>
    </w:p>
    <w:p w14:paraId="4D13336D" w14:textId="77777777" w:rsidR="00B52B61" w:rsidRPr="00B447E7" w:rsidRDefault="00B52B61" w:rsidP="00B52B61">
      <w:pPr>
        <w:rPr>
          <w:rFonts w:ascii="Times New Roman" w:hAnsi="Times New Roman" w:cs="Times New Roman"/>
          <w:sz w:val="20"/>
          <w:szCs w:val="20"/>
        </w:rPr>
      </w:pPr>
    </w:p>
    <w:p w14:paraId="74A8C6EB" w14:textId="77777777" w:rsidR="00B52B61" w:rsidRPr="00B447E7" w:rsidRDefault="00B52B61" w:rsidP="00B52B61">
      <w:pPr>
        <w:pStyle w:val="Heading6"/>
        <w:keepNext w:val="0"/>
        <w:keepLines w:val="0"/>
        <w:spacing w:after="40" w:line="313" w:lineRule="auto"/>
        <w:rPr>
          <w:rFonts w:ascii="Times New Roman" w:eastAsia="Arial" w:hAnsi="Times New Roman" w:cs="Times New Roman"/>
          <w:color w:val="1F3763"/>
          <w:sz w:val="20"/>
          <w:szCs w:val="20"/>
        </w:rPr>
      </w:pPr>
      <w:bookmarkStart w:id="4" w:name="_heading=h.zd0moqm1it4l" w:colFirst="0" w:colLast="0"/>
      <w:bookmarkEnd w:id="4"/>
    </w:p>
    <w:p w14:paraId="09E41BE9" w14:textId="77777777" w:rsidR="00B52B61" w:rsidRPr="00B447E7" w:rsidRDefault="00B52B61" w:rsidP="00B52B61">
      <w:pPr>
        <w:pStyle w:val="Heading6"/>
        <w:keepNext w:val="0"/>
        <w:keepLines w:val="0"/>
        <w:spacing w:after="40" w:line="313" w:lineRule="auto"/>
        <w:rPr>
          <w:rFonts w:ascii="Times New Roman" w:eastAsia="Arial" w:hAnsi="Times New Roman" w:cs="Times New Roman"/>
          <w:color w:val="1F3763"/>
          <w:sz w:val="20"/>
          <w:szCs w:val="20"/>
        </w:rPr>
      </w:pPr>
    </w:p>
    <w:p w14:paraId="0F0F7AE9" w14:textId="77777777" w:rsidR="00B52B61" w:rsidRPr="00B447E7" w:rsidRDefault="00B52B61" w:rsidP="00B52B61">
      <w:pPr>
        <w:rPr>
          <w:rFonts w:ascii="Times New Roman" w:hAnsi="Times New Roman" w:cs="Times New Roman"/>
          <w:sz w:val="20"/>
          <w:szCs w:val="20"/>
        </w:rPr>
      </w:pPr>
    </w:p>
    <w:p w14:paraId="5FEAF823" w14:textId="77777777" w:rsidR="00B52B61" w:rsidRPr="00B447E7" w:rsidRDefault="00B52B61" w:rsidP="00B52B6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43E3918" w14:textId="77777777" w:rsidR="00B52B61" w:rsidRPr="00B447E7" w:rsidRDefault="00B52B61" w:rsidP="00B52B61">
      <w:pPr>
        <w:spacing w:line="25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447E7">
        <w:rPr>
          <w:rFonts w:ascii="Times New Roman" w:hAnsi="Times New Roman" w:cs="Times New Roman"/>
          <w:sz w:val="20"/>
          <w:szCs w:val="20"/>
        </w:rPr>
        <w:t xml:space="preserve"> </w:t>
      </w:r>
      <w:r w:rsidRPr="00B447E7">
        <w:rPr>
          <w:rFonts w:ascii="Times New Roman" w:hAnsi="Times New Roman" w:cs="Times New Roman"/>
          <w:b/>
          <w:bCs/>
          <w:sz w:val="20"/>
          <w:szCs w:val="20"/>
        </w:rPr>
        <w:t>Table 2: Final recruitment per site</w:t>
      </w:r>
    </w:p>
    <w:tbl>
      <w:tblPr>
        <w:tblW w:w="7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6"/>
        <w:gridCol w:w="1679"/>
      </w:tblGrid>
      <w:tr w:rsidR="00B52B61" w:rsidRPr="00B447E7" w14:paraId="3658D591" w14:textId="77777777" w:rsidTr="002073D0">
        <w:trPr>
          <w:trHeight w:val="605"/>
        </w:trPr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13A83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NHS Trust</w:t>
            </w: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A9E6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Recruitment</w:t>
            </w:r>
          </w:p>
        </w:tc>
      </w:tr>
      <w:tr w:rsidR="00B52B61" w:rsidRPr="00B447E7" w14:paraId="0FEF71D1" w14:textId="77777777" w:rsidTr="002073D0">
        <w:trPr>
          <w:trHeight w:val="321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DCA4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East and North Herts NHS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4590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</w:tr>
      <w:tr w:rsidR="00B52B61" w:rsidRPr="00B447E7" w14:paraId="17466B59" w14:textId="77777777" w:rsidTr="002073D0">
        <w:trPr>
          <w:trHeight w:val="342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23DB" w14:textId="77777777" w:rsidR="00B52B61" w:rsidRPr="00B447E7" w:rsidRDefault="00B52B61" w:rsidP="0020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Imperial College Healthcare NHS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8CF6" w14:textId="77777777" w:rsidR="00B52B61" w:rsidRPr="00B447E7" w:rsidRDefault="00B52B61" w:rsidP="0020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</w:tr>
      <w:tr w:rsidR="00B52B61" w:rsidRPr="00B447E7" w14:paraId="63A7D7C3" w14:textId="77777777" w:rsidTr="002073D0">
        <w:trPr>
          <w:trHeight w:val="364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EEBB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King's College Hospital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34A7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B52B61" w:rsidRPr="00B447E7" w14:paraId="38BC2640" w14:textId="77777777" w:rsidTr="002073D0">
        <w:trPr>
          <w:trHeight w:val="344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3FAA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Portsmouth Hospitals NHS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1ED8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B52B61" w:rsidRPr="00B447E7" w14:paraId="763DC0A2" w14:textId="77777777" w:rsidTr="002073D0">
        <w:trPr>
          <w:trHeight w:val="338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40AA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University Hospitals of Leicester NHS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8450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B52B61" w:rsidRPr="00B447E7" w14:paraId="38779E34" w14:textId="77777777" w:rsidTr="002073D0">
        <w:trPr>
          <w:trHeight w:val="346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034F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Basildon and Thurrock University Hospitals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BC4D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B52B61" w:rsidRPr="00B447E7" w14:paraId="13408B04" w14:textId="77777777" w:rsidTr="002073D0">
        <w:trPr>
          <w:trHeight w:val="340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0EA0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North Tees and Hartlepool Hospitals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F2E2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B52B61" w:rsidRPr="00B447E7" w14:paraId="095FCF44" w14:textId="77777777" w:rsidTr="002073D0">
        <w:trPr>
          <w:trHeight w:val="320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D3CC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Pennine Acute Hospitals NHS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0D8D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B52B61" w:rsidRPr="00B447E7" w14:paraId="201DF985" w14:textId="77777777" w:rsidTr="002073D0">
        <w:trPr>
          <w:trHeight w:val="328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0C8A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London </w:t>
            </w:r>
            <w:proofErr w:type="gram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North West</w:t>
            </w:r>
            <w:proofErr w:type="gramEnd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University Healthcare NHS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E3BF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B52B61" w:rsidRPr="00B447E7" w14:paraId="2B3515E1" w14:textId="77777777" w:rsidTr="002073D0">
        <w:trPr>
          <w:trHeight w:val="322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22B5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The Ipswich Hospitals NHS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46DA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B52B61" w:rsidRPr="00B447E7" w14:paraId="461DB110" w14:textId="77777777" w:rsidTr="002073D0">
        <w:trPr>
          <w:trHeight w:val="458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15CE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University Hospitals of Birmingham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5B1A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52B61" w:rsidRPr="00B447E7" w14:paraId="69D41C05" w14:textId="77777777" w:rsidTr="002073D0">
        <w:trPr>
          <w:trHeight w:val="355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8AA0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Southend University Hospital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17D5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B52B61" w:rsidRPr="00B447E7" w14:paraId="15F41158" w14:textId="77777777" w:rsidTr="002073D0">
        <w:trPr>
          <w:trHeight w:val="491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DD43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Luton &amp; Dunstable University Hospitals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06F8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52B61" w:rsidRPr="00B447E7" w14:paraId="4C45A510" w14:textId="77777777" w:rsidTr="002073D0">
        <w:trPr>
          <w:trHeight w:val="485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07C1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Royal Berkshire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4616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52B61" w:rsidRPr="00B447E7" w14:paraId="7A269565" w14:textId="77777777" w:rsidTr="002073D0">
        <w:trPr>
          <w:trHeight w:val="511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464F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Norfolk &amp; Norwich University Hospitals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02F8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52B61" w:rsidRPr="00B447E7" w14:paraId="450C0B71" w14:textId="77777777" w:rsidTr="002073D0">
        <w:trPr>
          <w:trHeight w:val="492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3176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James Paget University Hospitals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59C1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52B61" w:rsidRPr="00B447E7" w14:paraId="20DF888C" w14:textId="77777777" w:rsidTr="002073D0">
        <w:trPr>
          <w:trHeight w:val="489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CF14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Ashford and St Peter's Hospitals NHS Foundation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3B16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52B61" w:rsidRPr="00B447E7" w14:paraId="317D2A82" w14:textId="77777777" w:rsidTr="002073D0">
        <w:trPr>
          <w:trHeight w:val="485"/>
        </w:trPr>
        <w:tc>
          <w:tcPr>
            <w:tcW w:w="5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1643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Hull and East Yorkshire Hospitals NHS Trust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D30B" w14:textId="77777777" w:rsidR="00B52B61" w:rsidRPr="00B447E7" w:rsidRDefault="00B52B61" w:rsidP="002073D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14:paraId="29D48B14" w14:textId="77777777" w:rsidR="00B52B61" w:rsidRDefault="00B52B61" w:rsidP="00B52B61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84D8A" w14:textId="77777777" w:rsidR="00B52B61" w:rsidRDefault="00B52B61" w:rsidP="00B52B61">
      <w:pPr>
        <w:spacing w:line="254" w:lineRule="auto"/>
      </w:pPr>
    </w:p>
    <w:p w14:paraId="3FF387B7" w14:textId="77777777" w:rsidR="00B52B61" w:rsidRDefault="00B52B61" w:rsidP="00B52B61">
      <w:pPr>
        <w:spacing w:line="254" w:lineRule="auto"/>
      </w:pPr>
    </w:p>
    <w:p w14:paraId="7CAA567C" w14:textId="77777777" w:rsidR="00B52B61" w:rsidRDefault="00B52B61" w:rsidP="00B52B61">
      <w:pPr>
        <w:spacing w:line="254" w:lineRule="auto"/>
      </w:pPr>
    </w:p>
    <w:p w14:paraId="2DC4DF8A" w14:textId="77777777" w:rsidR="00B52B61" w:rsidRDefault="00B52B61" w:rsidP="00B52B61">
      <w:pPr>
        <w:spacing w:line="254" w:lineRule="auto"/>
      </w:pPr>
    </w:p>
    <w:p w14:paraId="74C07AC9" w14:textId="77777777" w:rsidR="00B52B61" w:rsidRDefault="00B52B61" w:rsidP="00B52B61">
      <w:pPr>
        <w:spacing w:line="254" w:lineRule="auto"/>
      </w:pPr>
    </w:p>
    <w:p w14:paraId="17336011" w14:textId="77777777" w:rsidR="00B52B61" w:rsidRDefault="00B52B61" w:rsidP="00B52B61">
      <w:pPr>
        <w:spacing w:line="254" w:lineRule="auto"/>
      </w:pPr>
    </w:p>
    <w:p w14:paraId="28F92725" w14:textId="77777777" w:rsidR="00B52B61" w:rsidRPr="006764DE" w:rsidRDefault="00B52B61" w:rsidP="00B52B61">
      <w:pPr>
        <w:spacing w:line="25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64DE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6764DE">
        <w:rPr>
          <w:rFonts w:ascii="Times New Roman" w:hAnsi="Times New Roman" w:cs="Times New Roman"/>
          <w:b/>
          <w:bCs/>
          <w:sz w:val="20"/>
          <w:szCs w:val="20"/>
        </w:rPr>
        <w:t xml:space="preserve">: Randomisation by 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6764DE">
        <w:rPr>
          <w:rFonts w:ascii="Times New Roman" w:hAnsi="Times New Roman" w:cs="Times New Roman"/>
          <w:b/>
          <w:bCs/>
          <w:sz w:val="20"/>
          <w:szCs w:val="20"/>
        </w:rPr>
        <w:t>adiologist</w:t>
      </w:r>
    </w:p>
    <w:tbl>
      <w:tblPr>
        <w:tblpPr w:leftFromText="180" w:rightFromText="180" w:vertAnchor="text" w:tblpY="1"/>
        <w:tblOverlap w:val="never"/>
        <w:tblW w:w="6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1"/>
        <w:gridCol w:w="1361"/>
        <w:gridCol w:w="1361"/>
        <w:gridCol w:w="1361"/>
        <w:gridCol w:w="1361"/>
      </w:tblGrid>
      <w:tr w:rsidR="00B52B61" w:rsidRPr="00B447E7" w14:paraId="33092F34" w14:textId="77777777" w:rsidTr="002073D0">
        <w:trPr>
          <w:trHeight w:val="283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8E67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0F0F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A636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EUS-FNAC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57CF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US-FNAC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7325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</w:tr>
      <w:tr w:rsidR="00B52B61" w:rsidRPr="00B447E7" w14:paraId="7BB51DBB" w14:textId="77777777" w:rsidTr="002073D0">
        <w:trPr>
          <w:trHeight w:val="283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B2CA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9B23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90EA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53DF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7D4F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</w:tr>
      <w:tr w:rsidR="00B52B61" w:rsidRPr="00B447E7" w14:paraId="1F126E0E" w14:textId="77777777" w:rsidTr="002073D0">
        <w:trPr>
          <w:trHeight w:val="283"/>
        </w:trPr>
        <w:tc>
          <w:tcPr>
            <w:tcW w:w="136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8D8F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</w:t>
            </w:r>
            <w:r w:rsidRPr="00B447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A642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A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D677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6 (1%)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7EA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6 (1%)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9EF9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12 (1%)</w:t>
            </w:r>
          </w:p>
        </w:tc>
      </w:tr>
      <w:tr w:rsidR="00B52B61" w:rsidRPr="00B447E7" w14:paraId="1951D928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E063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EC83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B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406C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10 (2%)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391C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 (2%)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EB1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18 (2%)</w:t>
            </w:r>
          </w:p>
        </w:tc>
      </w:tr>
      <w:tr w:rsidR="00B52B61" w:rsidRPr="00B447E7" w14:paraId="7B0208AE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A5A6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D480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C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34CD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90 (18%)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7184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89 (18%)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B503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179 (18%)</w:t>
            </w:r>
          </w:p>
        </w:tc>
      </w:tr>
      <w:tr w:rsidR="00B52B61" w:rsidRPr="00B447E7" w14:paraId="175139AE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FE30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3E65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D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830F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19 (4%)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18C2D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22 (5%)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56E3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41 (4%)</w:t>
            </w:r>
          </w:p>
        </w:tc>
      </w:tr>
      <w:tr w:rsidR="00B52B61" w:rsidRPr="00B447E7" w14:paraId="2E0A6890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7B50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8143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E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889C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(0.4%)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9505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 (1%)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E48A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6 (1%)</w:t>
            </w:r>
          </w:p>
        </w:tc>
      </w:tr>
      <w:tr w:rsidR="00B52B61" w:rsidRPr="00B447E7" w14:paraId="46381A4F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1B7A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5E0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F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9B6B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26 (5%)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3A41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29 (6%)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960B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55 (6%)</w:t>
            </w:r>
          </w:p>
        </w:tc>
      </w:tr>
      <w:tr w:rsidR="00B52B61" w:rsidRPr="00B447E7" w14:paraId="23D03D0B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1B44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065A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G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6DE9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45 (9%)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3480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40 (8%)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D676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85 (9%)</w:t>
            </w:r>
          </w:p>
        </w:tc>
      </w:tr>
      <w:tr w:rsidR="00B52B61" w:rsidRPr="00B447E7" w14:paraId="45779609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901D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5617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H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9AFA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12 (2%)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54F0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11 (2%)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7F84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23 (2%)</w:t>
            </w:r>
          </w:p>
        </w:tc>
      </w:tr>
      <w:tr w:rsidR="00B52B61" w:rsidRPr="00B447E7" w14:paraId="396D8725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C21F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DEF3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I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F940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 (1%)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F872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 (1%)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1257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10 (1%)</w:t>
            </w:r>
          </w:p>
        </w:tc>
      </w:tr>
      <w:tr w:rsidR="00B52B61" w:rsidRPr="00B447E7" w14:paraId="5E43532B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73E1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459F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J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B828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 (2%)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B6B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6 (1%)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5331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14 (1%)</w:t>
            </w:r>
          </w:p>
        </w:tc>
      </w:tr>
      <w:tr w:rsidR="00B52B61" w:rsidRPr="00B447E7" w14:paraId="2AFB8EE1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86B1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079E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K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3801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15 (3%)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3EBB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16 (3%)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4088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31 (3%)</w:t>
            </w:r>
          </w:p>
        </w:tc>
      </w:tr>
      <w:tr w:rsidR="00B52B61" w:rsidRPr="00B447E7" w14:paraId="657CE9DD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0FAE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33B1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L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F0F5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 (1%)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B0D0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 (1%)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CBD1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9 (1%)</w:t>
            </w:r>
          </w:p>
        </w:tc>
      </w:tr>
      <w:tr w:rsidR="00B52B61" w:rsidRPr="00B447E7" w14:paraId="76A31366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B46E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9E14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M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2EF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BC4A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19A7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(0.2%)</w:t>
            </w:r>
          </w:p>
        </w:tc>
      </w:tr>
      <w:tr w:rsidR="00B52B61" w:rsidRPr="00B447E7" w14:paraId="3A857CC0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3A72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1422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N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4BB1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23 (5%)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4C25A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23 (5%)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FCF8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46 (5%)</w:t>
            </w:r>
          </w:p>
        </w:tc>
      </w:tr>
      <w:tr w:rsidR="00B52B61" w:rsidRPr="00B447E7" w14:paraId="0E3B1F0C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B69B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1E85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O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8F5C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16 (3%)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09B5B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16 (3%)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D138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32 (3%)</w:t>
            </w:r>
          </w:p>
        </w:tc>
      </w:tr>
      <w:tr w:rsidR="00B52B61" w:rsidRPr="00B447E7" w14:paraId="22F9D6D1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D0B3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257E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P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0AAC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 2%)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2F4B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6 (1%)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1CAC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14 (1%)</w:t>
            </w:r>
          </w:p>
        </w:tc>
      </w:tr>
      <w:tr w:rsidR="00B52B61" w:rsidRPr="00B447E7" w14:paraId="6F19C4E1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CBCB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099C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Q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5780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9B52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801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(0.1%)</w:t>
            </w:r>
          </w:p>
        </w:tc>
      </w:tr>
      <w:tr w:rsidR="00B52B61" w:rsidRPr="00B447E7" w14:paraId="59C9B14A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DE9A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A551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R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F96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C51A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75FA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(0.2%)</w:t>
            </w:r>
          </w:p>
        </w:tc>
      </w:tr>
      <w:tr w:rsidR="00B52B61" w:rsidRPr="00B447E7" w14:paraId="50AD6EE5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49F0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3ECC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S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044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111 (23%)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0943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113 (23%)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42F4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224 (23%)</w:t>
            </w:r>
          </w:p>
        </w:tc>
      </w:tr>
      <w:tr w:rsidR="00B52B61" w:rsidRPr="00B447E7" w14:paraId="79A40D6D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2288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7EFD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T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A9F9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24 (5%)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64E3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25 (5%)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317B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49 (5%)</w:t>
            </w:r>
          </w:p>
        </w:tc>
      </w:tr>
      <w:tr w:rsidR="00B52B61" w:rsidRPr="00B447E7" w14:paraId="7574A063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1552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B50C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U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84110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C308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B092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(0.1%)</w:t>
            </w:r>
          </w:p>
        </w:tc>
      </w:tr>
      <w:tr w:rsidR="00B52B61" w:rsidRPr="00B447E7" w14:paraId="3FDC2155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DD85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EBFE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V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3D59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(0.4%)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6384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6CC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 (0.3%)</w:t>
            </w:r>
          </w:p>
        </w:tc>
      </w:tr>
      <w:tr w:rsidR="00B52B61" w:rsidRPr="00B447E7" w14:paraId="7449BC81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9583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C86A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W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4DD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 (2%)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22CD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 (2%)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F48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16 (2%)</w:t>
            </w:r>
          </w:p>
        </w:tc>
      </w:tr>
      <w:tr w:rsidR="00B52B61" w:rsidRPr="00B447E7" w14:paraId="350C64E1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A7A9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CF8B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X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D679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12 (2%)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A4AB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11 (2%)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FD40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23 (2%)</w:t>
            </w:r>
          </w:p>
        </w:tc>
      </w:tr>
      <w:tr w:rsidR="00B52B61" w:rsidRPr="00B447E7" w14:paraId="093FDDA5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E37B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B40F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Y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7D24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27 (5%)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91D1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26 (5%)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BA31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53 (5%)</w:t>
            </w:r>
          </w:p>
        </w:tc>
      </w:tr>
      <w:tr w:rsidR="00B52B61" w:rsidRPr="00B447E7" w14:paraId="0B56D8F0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AF5F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C4B3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Z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E42A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16 (3%)</w:t>
            </w: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F0A0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15 (3%)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345F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31 (3%)</w:t>
            </w:r>
          </w:p>
        </w:tc>
      </w:tr>
      <w:tr w:rsidR="00B52B61" w:rsidRPr="00B447E7" w14:paraId="0FA3C458" w14:textId="77777777" w:rsidTr="002073D0">
        <w:trPr>
          <w:trHeight w:val="283"/>
        </w:trPr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1A0D" w14:textId="77777777" w:rsidR="00B52B61" w:rsidRPr="00B447E7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1FCD" w14:textId="77777777" w:rsidR="00B52B61" w:rsidRPr="00B447E7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Radiologist AA</w:t>
            </w:r>
          </w:p>
        </w:tc>
        <w:tc>
          <w:tcPr>
            <w:tcW w:w="136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F112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</w:tc>
        <w:tc>
          <w:tcPr>
            <w:tcW w:w="136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2FC8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FE93E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(0.2%)</w:t>
            </w:r>
          </w:p>
        </w:tc>
      </w:tr>
    </w:tbl>
    <w:p w14:paraId="18B02F20" w14:textId="77777777" w:rsidR="00B52B61" w:rsidRPr="00B447E7" w:rsidRDefault="00B52B61" w:rsidP="00B52B61">
      <w:pPr>
        <w:spacing w:before="40" w:line="25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  <w:r w:rsidRPr="00B447E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0C9938" w14:textId="77777777" w:rsidR="00B52B61" w:rsidRDefault="00B52B61" w:rsidP="00B52B61">
      <w:pPr>
        <w:spacing w:before="4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ED4D6" w14:textId="77777777" w:rsidR="00B52B61" w:rsidRDefault="00B52B61" w:rsidP="00B52B61">
      <w:pPr>
        <w:spacing w:before="4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7C0E7" w14:textId="77777777" w:rsidR="00B52B61" w:rsidRPr="00A52A5B" w:rsidRDefault="00B52B61" w:rsidP="00B52B61">
      <w:pPr>
        <w:spacing w:before="40" w:line="254" w:lineRule="auto"/>
        <w:rPr>
          <w:b/>
          <w:bCs/>
          <w:sz w:val="20"/>
          <w:szCs w:val="20"/>
        </w:rPr>
      </w:pPr>
      <w:r w:rsidRPr="00A52A5B">
        <w:rPr>
          <w:rFonts w:ascii="Times New Roman" w:eastAsia="Times New Roman" w:hAnsi="Times New Roman" w:cs="Times New Roman"/>
          <w:b/>
          <w:bCs/>
          <w:sz w:val="20"/>
          <w:szCs w:val="20"/>
        </w:rPr>
        <w:t>Table 4A: Number of FNACs until Final Definitive Diagnosis</w:t>
      </w:r>
    </w:p>
    <w:p w14:paraId="2750295F" w14:textId="77777777" w:rsidR="00B52B61" w:rsidRDefault="00B52B61" w:rsidP="00B52B61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293"/>
        <w:gridCol w:w="1418"/>
        <w:gridCol w:w="1675"/>
        <w:gridCol w:w="1574"/>
        <w:gridCol w:w="1478"/>
        <w:gridCol w:w="1481"/>
      </w:tblGrid>
      <w:tr w:rsidR="00B52B61" w:rsidRPr="00B447E7" w14:paraId="714F2C3F" w14:textId="77777777" w:rsidTr="002073D0">
        <w:trPr>
          <w:trHeight w:val="590"/>
          <w:jc w:val="center"/>
        </w:trPr>
        <w:tc>
          <w:tcPr>
            <w:tcW w:w="1537" w:type="dxa"/>
          </w:tcPr>
          <w:p w14:paraId="494FF7FB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1BE92330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F7BB75" w14:textId="77777777" w:rsidR="00B52B61" w:rsidRPr="006764DE" w:rsidRDefault="00B52B61" w:rsidP="002073D0">
            <w:pPr>
              <w:spacing w:before="3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EUS-FNAC</w:t>
            </w:r>
          </w:p>
        </w:tc>
        <w:tc>
          <w:tcPr>
            <w:tcW w:w="1675" w:type="dxa"/>
          </w:tcPr>
          <w:p w14:paraId="0FDF5B3D" w14:textId="77777777" w:rsidR="00B52B61" w:rsidRPr="006764DE" w:rsidRDefault="00B52B61" w:rsidP="002073D0">
            <w:pPr>
              <w:spacing w:before="3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US-FNAC</w:t>
            </w:r>
          </w:p>
        </w:tc>
        <w:tc>
          <w:tcPr>
            <w:tcW w:w="1574" w:type="dxa"/>
          </w:tcPr>
          <w:p w14:paraId="06BBDD93" w14:textId="77777777" w:rsidR="00B52B61" w:rsidRPr="006764DE" w:rsidRDefault="00B52B61" w:rsidP="002073D0">
            <w:pPr>
              <w:spacing w:before="3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Adjusted* Odds Ratio (95% CI)</w:t>
            </w:r>
          </w:p>
        </w:tc>
        <w:tc>
          <w:tcPr>
            <w:tcW w:w="1478" w:type="dxa"/>
          </w:tcPr>
          <w:p w14:paraId="702FFC88" w14:textId="77777777" w:rsidR="00B52B61" w:rsidRPr="006764DE" w:rsidRDefault="00B52B61" w:rsidP="002073D0">
            <w:pPr>
              <w:spacing w:before="3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Odds Ratio (95% CI)</w:t>
            </w:r>
          </w:p>
        </w:tc>
        <w:tc>
          <w:tcPr>
            <w:tcW w:w="1481" w:type="dxa"/>
          </w:tcPr>
          <w:p w14:paraId="7BF7ED15" w14:textId="77777777" w:rsidR="00B52B61" w:rsidRPr="006764DE" w:rsidRDefault="00B52B61" w:rsidP="002073D0">
            <w:pPr>
              <w:spacing w:before="3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p-value</w:t>
            </w:r>
          </w:p>
        </w:tc>
      </w:tr>
      <w:tr w:rsidR="00B52B61" w:rsidRPr="00B447E7" w14:paraId="60641FCC" w14:textId="77777777" w:rsidTr="002073D0">
        <w:trPr>
          <w:trHeight w:val="414"/>
          <w:jc w:val="center"/>
        </w:trPr>
        <w:tc>
          <w:tcPr>
            <w:tcW w:w="1537" w:type="dxa"/>
            <w:vMerge w:val="restart"/>
          </w:tcPr>
          <w:p w14:paraId="05616334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Number of FNACs:</w:t>
            </w:r>
          </w:p>
        </w:tc>
        <w:tc>
          <w:tcPr>
            <w:tcW w:w="1293" w:type="dxa"/>
          </w:tcPr>
          <w:p w14:paraId="04276E2D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BA753C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N=346</w:t>
            </w:r>
          </w:p>
        </w:tc>
        <w:tc>
          <w:tcPr>
            <w:tcW w:w="1675" w:type="dxa"/>
          </w:tcPr>
          <w:p w14:paraId="4730642D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N=342</w:t>
            </w:r>
          </w:p>
        </w:tc>
        <w:tc>
          <w:tcPr>
            <w:tcW w:w="1574" w:type="dxa"/>
          </w:tcPr>
          <w:p w14:paraId="267FE30C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14:paraId="13360EE4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1BE5F7E7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B447E7" w14:paraId="1BFF0318" w14:textId="77777777" w:rsidTr="002073D0">
        <w:trPr>
          <w:trHeight w:val="406"/>
          <w:jc w:val="center"/>
        </w:trPr>
        <w:tc>
          <w:tcPr>
            <w:tcW w:w="1537" w:type="dxa"/>
            <w:vMerge/>
          </w:tcPr>
          <w:p w14:paraId="7C24CEDD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2B20FADC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FNAC</w:t>
            </w:r>
          </w:p>
        </w:tc>
        <w:tc>
          <w:tcPr>
            <w:tcW w:w="1418" w:type="dxa"/>
          </w:tcPr>
          <w:p w14:paraId="2B448617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168 (49%)</w:t>
            </w:r>
          </w:p>
        </w:tc>
        <w:tc>
          <w:tcPr>
            <w:tcW w:w="1675" w:type="dxa"/>
          </w:tcPr>
          <w:p w14:paraId="7ED8F4B9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175 (51%)</w:t>
            </w:r>
          </w:p>
        </w:tc>
        <w:tc>
          <w:tcPr>
            <w:tcW w:w="1574" w:type="dxa"/>
            <w:vMerge w:val="restart"/>
            <w:vAlign w:val="center"/>
          </w:tcPr>
          <w:p w14:paraId="64314B46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1.10 (0.82 to 1.49)</w:t>
            </w:r>
          </w:p>
        </w:tc>
        <w:tc>
          <w:tcPr>
            <w:tcW w:w="1478" w:type="dxa"/>
            <w:vMerge w:val="restart"/>
            <w:vAlign w:val="center"/>
          </w:tcPr>
          <w:p w14:paraId="5221B630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1.11 (0.83 to 1.48)</w:t>
            </w:r>
          </w:p>
        </w:tc>
        <w:tc>
          <w:tcPr>
            <w:tcW w:w="1481" w:type="dxa"/>
            <w:vMerge w:val="restart"/>
          </w:tcPr>
          <w:p w14:paraId="72572FA5" w14:textId="77777777" w:rsidR="00B52B61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BAF7A" w14:textId="77777777" w:rsidR="00B52B61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78967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</w:tr>
      <w:tr w:rsidR="00B52B61" w:rsidRPr="00B447E7" w14:paraId="025AAC10" w14:textId="77777777" w:rsidTr="002073D0">
        <w:trPr>
          <w:trHeight w:val="426"/>
          <w:jc w:val="center"/>
        </w:trPr>
        <w:tc>
          <w:tcPr>
            <w:tcW w:w="1537" w:type="dxa"/>
            <w:vMerge/>
          </w:tcPr>
          <w:p w14:paraId="21267EEC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5CDFD6FC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FNACs</w:t>
            </w:r>
          </w:p>
        </w:tc>
        <w:tc>
          <w:tcPr>
            <w:tcW w:w="1418" w:type="dxa"/>
          </w:tcPr>
          <w:p w14:paraId="124764AE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151 (44%)</w:t>
            </w:r>
          </w:p>
        </w:tc>
        <w:tc>
          <w:tcPr>
            <w:tcW w:w="1675" w:type="dxa"/>
          </w:tcPr>
          <w:p w14:paraId="57EE2699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142 (42%)</w:t>
            </w:r>
          </w:p>
        </w:tc>
        <w:tc>
          <w:tcPr>
            <w:tcW w:w="1574" w:type="dxa"/>
            <w:vMerge/>
          </w:tcPr>
          <w:p w14:paraId="664BAF0B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14:paraId="008735AE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5E231147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B447E7" w14:paraId="574067FA" w14:textId="77777777" w:rsidTr="002073D0">
        <w:trPr>
          <w:trHeight w:val="404"/>
          <w:jc w:val="center"/>
        </w:trPr>
        <w:tc>
          <w:tcPr>
            <w:tcW w:w="1537" w:type="dxa"/>
            <w:vMerge/>
          </w:tcPr>
          <w:p w14:paraId="6B878387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48CDC835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 FNACs</w:t>
            </w:r>
          </w:p>
        </w:tc>
        <w:tc>
          <w:tcPr>
            <w:tcW w:w="1418" w:type="dxa"/>
          </w:tcPr>
          <w:p w14:paraId="198674E5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22 (6%)</w:t>
            </w:r>
          </w:p>
        </w:tc>
        <w:tc>
          <w:tcPr>
            <w:tcW w:w="1675" w:type="dxa"/>
          </w:tcPr>
          <w:p w14:paraId="563F2E49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21 (6%)</w:t>
            </w:r>
          </w:p>
        </w:tc>
        <w:tc>
          <w:tcPr>
            <w:tcW w:w="1574" w:type="dxa"/>
            <w:vMerge/>
          </w:tcPr>
          <w:p w14:paraId="50DF9018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14:paraId="2BA7BFF0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5D7B1E25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B447E7" w14:paraId="5249132A" w14:textId="77777777" w:rsidTr="002073D0">
        <w:trPr>
          <w:trHeight w:val="424"/>
          <w:jc w:val="center"/>
        </w:trPr>
        <w:tc>
          <w:tcPr>
            <w:tcW w:w="1537" w:type="dxa"/>
            <w:vMerge/>
          </w:tcPr>
          <w:p w14:paraId="5CE1C94B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5CF43C87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 FNACs</w:t>
            </w:r>
          </w:p>
        </w:tc>
        <w:tc>
          <w:tcPr>
            <w:tcW w:w="1418" w:type="dxa"/>
          </w:tcPr>
          <w:p w14:paraId="20C2F1AB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 (1%)</w:t>
            </w:r>
          </w:p>
        </w:tc>
        <w:tc>
          <w:tcPr>
            <w:tcW w:w="1675" w:type="dxa"/>
          </w:tcPr>
          <w:p w14:paraId="71BDF2CD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 (1%)</w:t>
            </w:r>
          </w:p>
        </w:tc>
        <w:tc>
          <w:tcPr>
            <w:tcW w:w="1574" w:type="dxa"/>
            <w:vMerge/>
          </w:tcPr>
          <w:p w14:paraId="1F189FD4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14:paraId="0EB85D83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51E827BB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B447E7" w14:paraId="308F042D" w14:textId="77777777" w:rsidTr="002073D0">
        <w:trPr>
          <w:trHeight w:val="416"/>
          <w:jc w:val="center"/>
        </w:trPr>
        <w:tc>
          <w:tcPr>
            <w:tcW w:w="1537" w:type="dxa"/>
            <w:vMerge/>
          </w:tcPr>
          <w:p w14:paraId="5871111E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04AA8418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 FNACS</w:t>
            </w:r>
          </w:p>
        </w:tc>
        <w:tc>
          <w:tcPr>
            <w:tcW w:w="1418" w:type="dxa"/>
          </w:tcPr>
          <w:p w14:paraId="1C9A382E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(0.3%)</w:t>
            </w:r>
          </w:p>
        </w:tc>
        <w:tc>
          <w:tcPr>
            <w:tcW w:w="1675" w:type="dxa"/>
          </w:tcPr>
          <w:p w14:paraId="6369FDAC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574" w:type="dxa"/>
            <w:vMerge/>
          </w:tcPr>
          <w:p w14:paraId="74359BD4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14:paraId="47A806E1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141CD11D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B447E7" w14:paraId="2E63DBEF" w14:textId="77777777" w:rsidTr="002073D0">
        <w:trPr>
          <w:trHeight w:val="550"/>
          <w:jc w:val="center"/>
        </w:trPr>
        <w:tc>
          <w:tcPr>
            <w:tcW w:w="2830" w:type="dxa"/>
            <w:gridSpan w:val="2"/>
          </w:tcPr>
          <w:p w14:paraId="79A0067D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Median (IQR)</w:t>
            </w:r>
          </w:p>
        </w:tc>
        <w:tc>
          <w:tcPr>
            <w:tcW w:w="1418" w:type="dxa"/>
          </w:tcPr>
          <w:p w14:paraId="0B25E8F1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2.0 (1.0-2.0)</w:t>
            </w:r>
          </w:p>
        </w:tc>
        <w:tc>
          <w:tcPr>
            <w:tcW w:w="1675" w:type="dxa"/>
          </w:tcPr>
          <w:p w14:paraId="48661F05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1.0 (1.0-2.0)</w:t>
            </w:r>
          </w:p>
        </w:tc>
        <w:tc>
          <w:tcPr>
            <w:tcW w:w="1574" w:type="dxa"/>
          </w:tcPr>
          <w:p w14:paraId="10C0E8DF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14:paraId="53B2759F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005740F6" w14:textId="77777777" w:rsidR="00B52B61" w:rsidRPr="00B447E7" w:rsidRDefault="00B52B61" w:rsidP="002073D0">
            <w:pPr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F92D00" w14:textId="77777777" w:rsidR="00B52B61" w:rsidRDefault="00B52B61" w:rsidP="00B52B61">
      <w:pPr>
        <w:spacing w:before="3"/>
        <w:rPr>
          <w:rFonts w:ascii="Times New Roman" w:hAnsi="Times New Roman" w:cs="Times New Roman"/>
          <w:i/>
          <w:iCs/>
          <w:w w:val="105"/>
          <w:sz w:val="16"/>
          <w:szCs w:val="16"/>
        </w:rPr>
      </w:pPr>
    </w:p>
    <w:p w14:paraId="3D4044AC" w14:textId="77777777" w:rsidR="00B52B61" w:rsidRDefault="00B52B61" w:rsidP="00B52B61">
      <w:pPr>
        <w:spacing w:before="3"/>
        <w:rPr>
          <w:rFonts w:ascii="Times New Roman" w:hAnsi="Times New Roman" w:cs="Times New Roman"/>
          <w:i/>
          <w:iCs/>
          <w:w w:val="105"/>
          <w:sz w:val="16"/>
          <w:szCs w:val="16"/>
        </w:rPr>
      </w:pPr>
      <w:r w:rsidRPr="00B447E7">
        <w:rPr>
          <w:rFonts w:ascii="Times New Roman" w:hAnsi="Times New Roman" w:cs="Times New Roman"/>
          <w:i/>
          <w:iCs/>
          <w:w w:val="105"/>
          <w:sz w:val="16"/>
          <w:szCs w:val="16"/>
        </w:rPr>
        <w:t xml:space="preserve">A ratio less than 1 favours the </w:t>
      </w:r>
      <w:r>
        <w:rPr>
          <w:rFonts w:ascii="Times New Roman" w:hAnsi="Times New Roman" w:cs="Times New Roman"/>
          <w:i/>
          <w:iCs/>
          <w:w w:val="105"/>
          <w:sz w:val="16"/>
          <w:szCs w:val="16"/>
        </w:rPr>
        <w:t>EUS</w:t>
      </w:r>
      <w:r w:rsidRPr="00B447E7">
        <w:rPr>
          <w:rFonts w:ascii="Times New Roman" w:hAnsi="Times New Roman" w:cs="Times New Roman"/>
          <w:i/>
          <w:iCs/>
          <w:w w:val="105"/>
          <w:sz w:val="16"/>
          <w:szCs w:val="16"/>
        </w:rPr>
        <w:t>-FNAC arm.</w:t>
      </w:r>
    </w:p>
    <w:p w14:paraId="659754FF" w14:textId="77777777" w:rsidR="00B52B61" w:rsidRPr="00730033" w:rsidRDefault="00B52B61" w:rsidP="00B52B61">
      <w:pPr>
        <w:spacing w:before="3"/>
        <w:rPr>
          <w:rFonts w:ascii="Times New Roman" w:hAnsi="Times New Roman" w:cs="Times New Roman"/>
          <w:i/>
          <w:iCs/>
          <w:w w:val="105"/>
          <w:sz w:val="16"/>
          <w:szCs w:val="16"/>
        </w:rPr>
      </w:pPr>
      <w:r w:rsidRPr="00B447E7">
        <w:rPr>
          <w:rFonts w:ascii="Times New Roman" w:hAnsi="Times New Roman" w:cs="Times New Roman"/>
          <w:i/>
          <w:iCs/>
          <w:w w:val="105"/>
          <w:sz w:val="16"/>
          <w:szCs w:val="16"/>
        </w:rPr>
        <w:t xml:space="preserve"> </w:t>
      </w:r>
      <w:r w:rsidRPr="00B447E7">
        <w:rPr>
          <w:rFonts w:ascii="Times New Roman" w:hAnsi="Times New Roman" w:cs="Times New Roman"/>
          <w:w w:val="105"/>
          <w:sz w:val="16"/>
          <w:szCs w:val="16"/>
        </w:rPr>
        <w:t>*Adjusting</w:t>
      </w:r>
      <w:r w:rsidRPr="00B447E7">
        <w:rPr>
          <w:rFonts w:ascii="Times New Roman" w:hAnsi="Times New Roman" w:cs="Times New Roman"/>
          <w:spacing w:val="-24"/>
          <w:w w:val="105"/>
          <w:sz w:val="16"/>
          <w:szCs w:val="16"/>
        </w:rPr>
        <w:t xml:space="preserve"> </w:t>
      </w:r>
      <w:r w:rsidRPr="00B447E7">
        <w:rPr>
          <w:rFonts w:ascii="Times New Roman" w:hAnsi="Times New Roman" w:cs="Times New Roman"/>
          <w:w w:val="105"/>
          <w:sz w:val="16"/>
          <w:szCs w:val="16"/>
        </w:rPr>
        <w:t>for</w:t>
      </w:r>
      <w:r w:rsidRPr="00B447E7">
        <w:rPr>
          <w:rFonts w:ascii="Times New Roman" w:hAnsi="Times New Roman" w:cs="Times New Roman"/>
          <w:spacing w:val="-22"/>
          <w:w w:val="105"/>
          <w:sz w:val="16"/>
          <w:szCs w:val="16"/>
        </w:rPr>
        <w:t xml:space="preserve"> </w:t>
      </w:r>
      <w:r w:rsidRPr="00B447E7">
        <w:rPr>
          <w:rFonts w:ascii="Times New Roman" w:hAnsi="Times New Roman" w:cs="Times New Roman"/>
          <w:w w:val="105"/>
          <w:sz w:val="16"/>
          <w:szCs w:val="16"/>
        </w:rPr>
        <w:t>minimisation</w:t>
      </w:r>
      <w:r w:rsidRPr="00B447E7">
        <w:rPr>
          <w:rFonts w:ascii="Times New Roman" w:hAnsi="Times New Roman" w:cs="Times New Roman"/>
          <w:spacing w:val="-24"/>
          <w:w w:val="105"/>
          <w:sz w:val="16"/>
          <w:szCs w:val="16"/>
        </w:rPr>
        <w:t xml:space="preserve"> </w:t>
      </w:r>
      <w:r w:rsidRPr="00B447E7">
        <w:rPr>
          <w:rFonts w:ascii="Times New Roman" w:hAnsi="Times New Roman" w:cs="Times New Roman"/>
          <w:w w:val="105"/>
          <w:sz w:val="16"/>
          <w:szCs w:val="16"/>
        </w:rPr>
        <w:t>variables</w:t>
      </w:r>
    </w:p>
    <w:p w14:paraId="79A4A4A8" w14:textId="77777777" w:rsidR="00B52B61" w:rsidRPr="00B447E7" w:rsidRDefault="00B52B61" w:rsidP="00B52B61">
      <w:pPr>
        <w:spacing w:before="42"/>
        <w:rPr>
          <w:rFonts w:ascii="Times New Roman" w:hAnsi="Times New Roman" w:cs="Times New Roman"/>
          <w:sz w:val="16"/>
          <w:szCs w:val="16"/>
        </w:rPr>
      </w:pPr>
      <w:r w:rsidRPr="00B447E7">
        <w:rPr>
          <w:rFonts w:ascii="Times New Roman" w:hAnsi="Times New Roman" w:cs="Times New Roman"/>
          <w:w w:val="105"/>
          <w:sz w:val="16"/>
          <w:szCs w:val="16"/>
        </w:rPr>
        <w:t>**p-value</w:t>
      </w:r>
      <w:r w:rsidRPr="00B447E7">
        <w:rPr>
          <w:rFonts w:ascii="Times New Roman" w:hAnsi="Times New Roman" w:cs="Times New Roman"/>
          <w:spacing w:val="-18"/>
          <w:w w:val="105"/>
          <w:sz w:val="16"/>
          <w:szCs w:val="16"/>
        </w:rPr>
        <w:t xml:space="preserve"> </w:t>
      </w:r>
      <w:r w:rsidRPr="00B447E7">
        <w:rPr>
          <w:rFonts w:ascii="Times New Roman" w:hAnsi="Times New Roman" w:cs="Times New Roman"/>
          <w:w w:val="105"/>
          <w:sz w:val="16"/>
          <w:szCs w:val="16"/>
        </w:rPr>
        <w:t>taken</w:t>
      </w:r>
      <w:r w:rsidRPr="00B447E7">
        <w:rPr>
          <w:rFonts w:ascii="Times New Roman" w:hAnsi="Times New Roman" w:cs="Times New Roman"/>
          <w:spacing w:val="-17"/>
          <w:w w:val="105"/>
          <w:sz w:val="16"/>
          <w:szCs w:val="16"/>
        </w:rPr>
        <w:t xml:space="preserve"> </w:t>
      </w:r>
      <w:r w:rsidRPr="00B447E7">
        <w:rPr>
          <w:rFonts w:ascii="Times New Roman" w:hAnsi="Times New Roman" w:cs="Times New Roman"/>
          <w:w w:val="105"/>
          <w:sz w:val="16"/>
          <w:szCs w:val="16"/>
        </w:rPr>
        <w:t>from</w:t>
      </w:r>
      <w:r w:rsidRPr="00B447E7">
        <w:rPr>
          <w:rFonts w:ascii="Times New Roman" w:hAnsi="Times New Roman" w:cs="Times New Roman"/>
          <w:spacing w:val="-17"/>
          <w:w w:val="105"/>
          <w:sz w:val="16"/>
          <w:szCs w:val="16"/>
        </w:rPr>
        <w:t xml:space="preserve"> </w:t>
      </w:r>
      <w:r w:rsidRPr="00B447E7">
        <w:rPr>
          <w:rFonts w:ascii="Times New Roman" w:hAnsi="Times New Roman" w:cs="Times New Roman"/>
          <w:w w:val="105"/>
          <w:sz w:val="16"/>
          <w:szCs w:val="16"/>
        </w:rPr>
        <w:t>adjusted</w:t>
      </w:r>
      <w:r w:rsidRPr="00B447E7">
        <w:rPr>
          <w:rFonts w:ascii="Times New Roman" w:hAnsi="Times New Roman" w:cs="Times New Roman"/>
          <w:spacing w:val="-18"/>
          <w:w w:val="105"/>
          <w:sz w:val="16"/>
          <w:szCs w:val="16"/>
        </w:rPr>
        <w:t xml:space="preserve"> </w:t>
      </w:r>
      <w:r w:rsidRPr="00B447E7">
        <w:rPr>
          <w:rFonts w:ascii="Times New Roman" w:hAnsi="Times New Roman" w:cs="Times New Roman"/>
          <w:w w:val="105"/>
          <w:sz w:val="16"/>
          <w:szCs w:val="16"/>
        </w:rPr>
        <w:t>model</w:t>
      </w:r>
    </w:p>
    <w:p w14:paraId="3C4DC20F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1A8B33" w14:textId="77777777" w:rsidR="00B52B61" w:rsidRDefault="00B52B61" w:rsidP="00B52B6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5ADD86" w14:textId="77777777" w:rsidR="00B52B61" w:rsidRDefault="00B52B61" w:rsidP="00B52B6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127C8" w14:textId="77777777" w:rsidR="00B52B61" w:rsidRPr="00A52A5B" w:rsidRDefault="00B52B61" w:rsidP="00B52B61">
      <w:pPr>
        <w:spacing w:before="39" w:line="257" w:lineRule="auto"/>
        <w:rPr>
          <w:b/>
          <w:bCs/>
          <w:sz w:val="20"/>
          <w:szCs w:val="20"/>
        </w:rPr>
      </w:pPr>
      <w:r w:rsidRPr="00A52A5B">
        <w:rPr>
          <w:rFonts w:ascii="Times New Roman" w:eastAsia="Times New Roman" w:hAnsi="Times New Roman" w:cs="Times New Roman"/>
          <w:b/>
          <w:bCs/>
          <w:sz w:val="20"/>
          <w:szCs w:val="20"/>
        </w:rPr>
        <w:t>Table 4B: FNAC Results for Participants without a Final Definitive Diagnosis</w:t>
      </w:r>
    </w:p>
    <w:tbl>
      <w:tblPr>
        <w:tblpPr w:leftFromText="180" w:rightFromText="180" w:vertAnchor="text" w:horzAnchor="margin" w:tblpY="352"/>
        <w:tblW w:w="10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1021"/>
        <w:gridCol w:w="1165"/>
        <w:gridCol w:w="1071"/>
        <w:gridCol w:w="1059"/>
        <w:gridCol w:w="1062"/>
        <w:gridCol w:w="1062"/>
        <w:gridCol w:w="1063"/>
        <w:gridCol w:w="1060"/>
        <w:gridCol w:w="1062"/>
      </w:tblGrid>
      <w:tr w:rsidR="00B52B61" w:rsidRPr="00B447E7" w14:paraId="34C879CB" w14:textId="77777777" w:rsidTr="002073D0">
        <w:trPr>
          <w:trHeight w:val="415"/>
        </w:trPr>
        <w:tc>
          <w:tcPr>
            <w:tcW w:w="874" w:type="dxa"/>
          </w:tcPr>
          <w:p w14:paraId="59901625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7AE7844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4" w:type="dxa"/>
            <w:gridSpan w:val="8"/>
          </w:tcPr>
          <w:p w14:paraId="4B486E9E" w14:textId="77777777" w:rsidR="00B52B61" w:rsidRPr="00B447E7" w:rsidRDefault="00B52B61" w:rsidP="002073D0">
            <w:pPr>
              <w:pStyle w:val="TableParagraph"/>
              <w:spacing w:before="5" w:line="254" w:lineRule="exact"/>
              <w:ind w:left="3529" w:right="35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</w:t>
            </w:r>
            <w:r w:rsidRPr="00B447E7">
              <w:rPr>
                <w:rFonts w:ascii="Times New Roman" w:hAnsi="Times New Roman" w:cs="Times New Roman"/>
                <w:b/>
                <w:w w:val="105"/>
                <w:sz w:val="16"/>
                <w:szCs w:val="16"/>
                <w:vertAlign w:val="superscript"/>
              </w:rPr>
              <w:t>nd</w:t>
            </w:r>
            <w:r w:rsidRPr="00B447E7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 FNAC Result</w:t>
            </w:r>
          </w:p>
        </w:tc>
      </w:tr>
      <w:tr w:rsidR="00B52B61" w:rsidRPr="00B447E7" w14:paraId="279B47BB" w14:textId="77777777" w:rsidTr="002073D0">
        <w:trPr>
          <w:trHeight w:val="542"/>
        </w:trPr>
        <w:tc>
          <w:tcPr>
            <w:tcW w:w="874" w:type="dxa"/>
          </w:tcPr>
          <w:p w14:paraId="09F524C9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C90E3CD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D7FEC76" w14:textId="77777777" w:rsidR="00B52B61" w:rsidRPr="006764DE" w:rsidRDefault="00B52B61" w:rsidP="002073D0">
            <w:pPr>
              <w:pStyle w:val="TableParagraph"/>
              <w:ind w:left="133" w:right="13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 result</w:t>
            </w:r>
          </w:p>
        </w:tc>
        <w:tc>
          <w:tcPr>
            <w:tcW w:w="1071" w:type="dxa"/>
          </w:tcPr>
          <w:p w14:paraId="2F9F6587" w14:textId="77777777" w:rsidR="00B52B61" w:rsidRPr="006764DE" w:rsidRDefault="00B52B61" w:rsidP="002073D0">
            <w:pPr>
              <w:pStyle w:val="TableParagraph"/>
              <w:ind w:left="154" w:right="14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Thy 1</w:t>
            </w:r>
          </w:p>
        </w:tc>
        <w:tc>
          <w:tcPr>
            <w:tcW w:w="1059" w:type="dxa"/>
          </w:tcPr>
          <w:p w14:paraId="1106ACDC" w14:textId="77777777" w:rsidR="00B52B61" w:rsidRPr="006764DE" w:rsidRDefault="00B52B61" w:rsidP="002073D0">
            <w:pPr>
              <w:pStyle w:val="TableParagraph"/>
              <w:ind w:left="148" w:right="14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Thy 2</w:t>
            </w:r>
          </w:p>
        </w:tc>
        <w:tc>
          <w:tcPr>
            <w:tcW w:w="1062" w:type="dxa"/>
          </w:tcPr>
          <w:p w14:paraId="48222BF8" w14:textId="77777777" w:rsidR="00B52B61" w:rsidRPr="006764DE" w:rsidRDefault="00B52B61" w:rsidP="002073D0">
            <w:pPr>
              <w:pStyle w:val="TableParagraph"/>
              <w:ind w:left="148" w:right="14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Thy 3a</w:t>
            </w:r>
          </w:p>
        </w:tc>
        <w:tc>
          <w:tcPr>
            <w:tcW w:w="1062" w:type="dxa"/>
          </w:tcPr>
          <w:p w14:paraId="61FD9DD6" w14:textId="77777777" w:rsidR="00B52B61" w:rsidRPr="006764DE" w:rsidRDefault="00B52B61" w:rsidP="002073D0">
            <w:pPr>
              <w:pStyle w:val="TableParagraph"/>
              <w:ind w:left="148" w:right="14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Thy 3</w:t>
            </w:r>
          </w:p>
        </w:tc>
        <w:tc>
          <w:tcPr>
            <w:tcW w:w="1063" w:type="dxa"/>
            <w:shd w:val="clear" w:color="auto" w:fill="D9D9D9"/>
          </w:tcPr>
          <w:p w14:paraId="599D054A" w14:textId="77777777" w:rsidR="00B52B61" w:rsidRPr="006764DE" w:rsidRDefault="00B52B61" w:rsidP="002073D0">
            <w:pPr>
              <w:pStyle w:val="TableParagraph"/>
              <w:ind w:left="301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Thy 4</w:t>
            </w:r>
          </w:p>
        </w:tc>
        <w:tc>
          <w:tcPr>
            <w:tcW w:w="1060" w:type="dxa"/>
            <w:shd w:val="clear" w:color="auto" w:fill="D9D9D9"/>
          </w:tcPr>
          <w:p w14:paraId="77E0CCF5" w14:textId="77777777" w:rsidR="00B52B61" w:rsidRPr="006764DE" w:rsidRDefault="00B52B61" w:rsidP="002073D0">
            <w:pPr>
              <w:pStyle w:val="TableParagraph"/>
              <w:ind w:left="299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Thy 5</w:t>
            </w:r>
          </w:p>
        </w:tc>
        <w:tc>
          <w:tcPr>
            <w:tcW w:w="1062" w:type="dxa"/>
          </w:tcPr>
          <w:p w14:paraId="0623D47C" w14:textId="77777777" w:rsidR="00B52B61" w:rsidRPr="006764DE" w:rsidRDefault="00B52B61" w:rsidP="002073D0">
            <w:pPr>
              <w:pStyle w:val="TableParagraph"/>
              <w:ind w:left="142" w:right="14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6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</w:tr>
      <w:tr w:rsidR="00B52B61" w:rsidRPr="00B447E7" w14:paraId="418AD327" w14:textId="77777777" w:rsidTr="002073D0">
        <w:trPr>
          <w:trHeight w:val="429"/>
        </w:trPr>
        <w:tc>
          <w:tcPr>
            <w:tcW w:w="874" w:type="dxa"/>
            <w:vMerge w:val="restart"/>
          </w:tcPr>
          <w:p w14:paraId="0B1B8AA2" w14:textId="77777777" w:rsidR="00B52B61" w:rsidRPr="00B447E7" w:rsidRDefault="00B52B61" w:rsidP="002073D0">
            <w:pPr>
              <w:pStyle w:val="TableParagraph"/>
              <w:spacing w:before="0" w:line="247" w:lineRule="auto"/>
              <w:ind w:left="110" w:right="5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w w:val="105"/>
                <w:position w:val="-7"/>
                <w:sz w:val="16"/>
                <w:szCs w:val="16"/>
              </w:rPr>
              <w:t>1</w:t>
            </w:r>
            <w:proofErr w:type="spellStart"/>
            <w:r w:rsidRPr="00B447E7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st</w:t>
            </w:r>
            <w:proofErr w:type="spellEnd"/>
            <w:r w:rsidRPr="00B447E7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 </w:t>
            </w: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FNAC</w:t>
            </w:r>
          </w:p>
          <w:p w14:paraId="3AA21715" w14:textId="77777777" w:rsidR="00B52B61" w:rsidRPr="00B447E7" w:rsidRDefault="00B52B61" w:rsidP="002073D0">
            <w:pPr>
              <w:pStyle w:val="TableParagraph"/>
              <w:spacing w:before="0"/>
              <w:ind w:left="11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Result</w:t>
            </w:r>
          </w:p>
        </w:tc>
        <w:tc>
          <w:tcPr>
            <w:tcW w:w="1021" w:type="dxa"/>
          </w:tcPr>
          <w:p w14:paraId="775C5D3D" w14:textId="77777777" w:rsidR="00B52B61" w:rsidRPr="00B447E7" w:rsidRDefault="00B52B61" w:rsidP="002073D0">
            <w:pPr>
              <w:pStyle w:val="TableParagraph"/>
              <w:ind w:right="10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 result</w:t>
            </w:r>
          </w:p>
        </w:tc>
        <w:tc>
          <w:tcPr>
            <w:tcW w:w="1165" w:type="dxa"/>
          </w:tcPr>
          <w:p w14:paraId="2D71DA7B" w14:textId="77777777" w:rsidR="00B52B61" w:rsidRPr="00B447E7" w:rsidRDefault="00B52B61" w:rsidP="002073D0">
            <w:pPr>
              <w:pStyle w:val="TableParagraph"/>
              <w:ind w:left="133" w:right="128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7* (2%)</w:t>
            </w:r>
          </w:p>
        </w:tc>
        <w:tc>
          <w:tcPr>
            <w:tcW w:w="1071" w:type="dxa"/>
          </w:tcPr>
          <w:p w14:paraId="03D77B20" w14:textId="77777777" w:rsidR="00B52B61" w:rsidRPr="00B447E7" w:rsidRDefault="00B52B61" w:rsidP="002073D0">
            <w:pPr>
              <w:pStyle w:val="TableParagraph"/>
              <w:ind w:left="154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59" w:type="dxa"/>
          </w:tcPr>
          <w:p w14:paraId="7C9B3750" w14:textId="77777777" w:rsidR="00B52B61" w:rsidRPr="00B447E7" w:rsidRDefault="00B52B61" w:rsidP="002073D0">
            <w:pPr>
              <w:pStyle w:val="TableParagraph"/>
              <w:ind w:left="147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0(0%)</w:t>
            </w:r>
          </w:p>
        </w:tc>
        <w:tc>
          <w:tcPr>
            <w:tcW w:w="1062" w:type="dxa"/>
          </w:tcPr>
          <w:p w14:paraId="69A5FD35" w14:textId="77777777" w:rsidR="00B52B61" w:rsidRPr="00B447E7" w:rsidRDefault="00B52B61" w:rsidP="002073D0">
            <w:pPr>
              <w:pStyle w:val="TableParagraph"/>
              <w:ind w:left="148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62" w:type="dxa"/>
          </w:tcPr>
          <w:p w14:paraId="1FEFD1EB" w14:textId="77777777" w:rsidR="00B52B61" w:rsidRPr="00B447E7" w:rsidRDefault="00B52B61" w:rsidP="002073D0">
            <w:pPr>
              <w:pStyle w:val="TableParagraph"/>
              <w:ind w:left="148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0(0%)</w:t>
            </w:r>
          </w:p>
        </w:tc>
        <w:tc>
          <w:tcPr>
            <w:tcW w:w="1063" w:type="dxa"/>
            <w:shd w:val="clear" w:color="auto" w:fill="D9D9D9"/>
          </w:tcPr>
          <w:p w14:paraId="4E54DAEB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9D9D9"/>
          </w:tcPr>
          <w:p w14:paraId="285F4C34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14:paraId="6AFB30C5" w14:textId="77777777" w:rsidR="00B52B61" w:rsidRPr="00B447E7" w:rsidRDefault="00B52B61" w:rsidP="002073D0">
            <w:pPr>
              <w:pStyle w:val="TableParagraph"/>
              <w:ind w:left="142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7 (2%)</w:t>
            </w:r>
          </w:p>
        </w:tc>
      </w:tr>
      <w:tr w:rsidR="00B52B61" w:rsidRPr="00B447E7" w14:paraId="7FEC408F" w14:textId="77777777" w:rsidTr="002073D0">
        <w:trPr>
          <w:trHeight w:val="420"/>
        </w:trPr>
        <w:tc>
          <w:tcPr>
            <w:tcW w:w="874" w:type="dxa"/>
            <w:vMerge/>
            <w:tcBorders>
              <w:top w:val="nil"/>
            </w:tcBorders>
          </w:tcPr>
          <w:p w14:paraId="05D35411" w14:textId="77777777" w:rsidR="00B52B61" w:rsidRPr="00B447E7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74CBBF0" w14:textId="77777777" w:rsidR="00B52B61" w:rsidRPr="00B447E7" w:rsidRDefault="00B52B61" w:rsidP="002073D0">
            <w:pPr>
              <w:pStyle w:val="TableParagraph"/>
              <w:ind w:right="10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Thy 1</w:t>
            </w:r>
          </w:p>
        </w:tc>
        <w:tc>
          <w:tcPr>
            <w:tcW w:w="1165" w:type="dxa"/>
          </w:tcPr>
          <w:p w14:paraId="75D29CA8" w14:textId="77777777" w:rsidR="00B52B61" w:rsidRPr="00B447E7" w:rsidRDefault="00B52B61" w:rsidP="002073D0">
            <w:pPr>
              <w:pStyle w:val="TableParagraph"/>
              <w:ind w:left="133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20 (7%)</w:t>
            </w:r>
          </w:p>
        </w:tc>
        <w:tc>
          <w:tcPr>
            <w:tcW w:w="1071" w:type="dxa"/>
          </w:tcPr>
          <w:p w14:paraId="2BD0DB42" w14:textId="77777777" w:rsidR="00B52B61" w:rsidRPr="00B447E7" w:rsidRDefault="00B52B61" w:rsidP="002073D0">
            <w:pPr>
              <w:pStyle w:val="TableParagraph"/>
              <w:ind w:left="154" w:righ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29 (10%)</w:t>
            </w:r>
          </w:p>
        </w:tc>
        <w:tc>
          <w:tcPr>
            <w:tcW w:w="1059" w:type="dxa"/>
          </w:tcPr>
          <w:p w14:paraId="06784121" w14:textId="77777777" w:rsidR="00B52B61" w:rsidRPr="00B447E7" w:rsidRDefault="00B52B61" w:rsidP="002073D0">
            <w:pPr>
              <w:pStyle w:val="TableParagraph"/>
              <w:ind w:left="149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18 (6%)</w:t>
            </w:r>
          </w:p>
        </w:tc>
        <w:tc>
          <w:tcPr>
            <w:tcW w:w="1062" w:type="dxa"/>
          </w:tcPr>
          <w:p w14:paraId="4E6753C6" w14:textId="77777777" w:rsidR="00B52B61" w:rsidRPr="00B447E7" w:rsidRDefault="00B52B61" w:rsidP="002073D0">
            <w:pPr>
              <w:pStyle w:val="TableParagraph"/>
              <w:ind w:left="148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 (3%)</w:t>
            </w:r>
          </w:p>
        </w:tc>
        <w:tc>
          <w:tcPr>
            <w:tcW w:w="1062" w:type="dxa"/>
          </w:tcPr>
          <w:p w14:paraId="6D05A307" w14:textId="77777777" w:rsidR="00B52B61" w:rsidRPr="00B447E7" w:rsidRDefault="00B52B61" w:rsidP="002073D0">
            <w:pPr>
              <w:pStyle w:val="TableParagraph"/>
              <w:ind w:left="148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(1%)</w:t>
            </w:r>
          </w:p>
        </w:tc>
        <w:tc>
          <w:tcPr>
            <w:tcW w:w="1063" w:type="dxa"/>
            <w:shd w:val="clear" w:color="auto" w:fill="D9D9D9"/>
          </w:tcPr>
          <w:p w14:paraId="0C4C240E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9D9D9"/>
          </w:tcPr>
          <w:p w14:paraId="600FDEC3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14:paraId="5BE1C916" w14:textId="77777777" w:rsidR="00B52B61" w:rsidRPr="00B447E7" w:rsidRDefault="00B52B61" w:rsidP="002073D0">
            <w:pPr>
              <w:pStyle w:val="TableParagraph"/>
              <w:ind w:left="145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77 (26%)</w:t>
            </w:r>
          </w:p>
        </w:tc>
      </w:tr>
      <w:tr w:rsidR="00B52B61" w:rsidRPr="00B447E7" w14:paraId="553647CB" w14:textId="77777777" w:rsidTr="002073D0">
        <w:trPr>
          <w:trHeight w:val="503"/>
        </w:trPr>
        <w:tc>
          <w:tcPr>
            <w:tcW w:w="874" w:type="dxa"/>
            <w:vMerge/>
            <w:tcBorders>
              <w:top w:val="nil"/>
            </w:tcBorders>
          </w:tcPr>
          <w:p w14:paraId="2575998C" w14:textId="77777777" w:rsidR="00B52B61" w:rsidRPr="00B447E7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B906368" w14:textId="77777777" w:rsidR="00B52B61" w:rsidRPr="00B447E7" w:rsidRDefault="00B52B61" w:rsidP="002073D0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Thy 2</w:t>
            </w:r>
          </w:p>
        </w:tc>
        <w:tc>
          <w:tcPr>
            <w:tcW w:w="1165" w:type="dxa"/>
          </w:tcPr>
          <w:p w14:paraId="5D425490" w14:textId="77777777" w:rsidR="00B52B61" w:rsidRPr="00B447E7" w:rsidRDefault="00B52B61" w:rsidP="002073D0">
            <w:pPr>
              <w:pStyle w:val="TableParagraph"/>
              <w:ind w:left="133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76 (26%)</w:t>
            </w:r>
          </w:p>
        </w:tc>
        <w:tc>
          <w:tcPr>
            <w:tcW w:w="1071" w:type="dxa"/>
          </w:tcPr>
          <w:p w14:paraId="54B2F29A" w14:textId="77777777" w:rsidR="00B52B61" w:rsidRPr="00B447E7" w:rsidRDefault="00B52B61" w:rsidP="002073D0">
            <w:pPr>
              <w:pStyle w:val="TableParagraph"/>
              <w:ind w:left="154" w:righ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11 (4%)</w:t>
            </w:r>
          </w:p>
        </w:tc>
        <w:tc>
          <w:tcPr>
            <w:tcW w:w="1059" w:type="dxa"/>
            <w:shd w:val="clear" w:color="auto" w:fill="D9D9D9"/>
          </w:tcPr>
          <w:p w14:paraId="7011D310" w14:textId="77777777" w:rsidR="00B52B61" w:rsidRPr="00B447E7" w:rsidRDefault="00B52B61" w:rsidP="002073D0">
            <w:pPr>
              <w:pStyle w:val="TableParagraph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w w:val="102"/>
                <w:sz w:val="16"/>
                <w:szCs w:val="16"/>
              </w:rPr>
              <w:t>-</w:t>
            </w:r>
          </w:p>
        </w:tc>
        <w:tc>
          <w:tcPr>
            <w:tcW w:w="1062" w:type="dxa"/>
          </w:tcPr>
          <w:p w14:paraId="76DAF3D6" w14:textId="77777777" w:rsidR="00B52B61" w:rsidRPr="00B447E7" w:rsidRDefault="00B52B61" w:rsidP="002073D0">
            <w:pPr>
              <w:pStyle w:val="TableParagraph"/>
              <w:ind w:left="148" w:right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13 (4%)</w:t>
            </w:r>
          </w:p>
        </w:tc>
        <w:tc>
          <w:tcPr>
            <w:tcW w:w="1062" w:type="dxa"/>
          </w:tcPr>
          <w:p w14:paraId="48C94FA7" w14:textId="77777777" w:rsidR="00B52B61" w:rsidRPr="00B447E7" w:rsidRDefault="00B52B61" w:rsidP="002073D0">
            <w:pPr>
              <w:pStyle w:val="TableParagraph"/>
              <w:ind w:left="148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(1%)</w:t>
            </w:r>
          </w:p>
        </w:tc>
        <w:tc>
          <w:tcPr>
            <w:tcW w:w="1063" w:type="dxa"/>
            <w:shd w:val="clear" w:color="auto" w:fill="D9D9D9"/>
          </w:tcPr>
          <w:p w14:paraId="6E019DB2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9D9D9"/>
          </w:tcPr>
          <w:p w14:paraId="4F0BA24F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14:paraId="0C5E993A" w14:textId="77777777" w:rsidR="00B52B61" w:rsidRPr="00B447E7" w:rsidRDefault="00B52B61" w:rsidP="002073D0">
            <w:pPr>
              <w:pStyle w:val="TableParagraph"/>
              <w:ind w:left="145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  <w:p w14:paraId="24290875" w14:textId="77777777" w:rsidR="00B52B61" w:rsidRPr="00B447E7" w:rsidRDefault="00B52B61" w:rsidP="002073D0">
            <w:pPr>
              <w:pStyle w:val="TableParagraph"/>
              <w:spacing w:line="225" w:lineRule="exact"/>
              <w:ind w:left="142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(35%)</w:t>
            </w:r>
          </w:p>
        </w:tc>
      </w:tr>
      <w:tr w:rsidR="00B52B61" w:rsidRPr="00B447E7" w14:paraId="470A968E" w14:textId="77777777" w:rsidTr="002073D0">
        <w:trPr>
          <w:trHeight w:val="476"/>
        </w:trPr>
        <w:tc>
          <w:tcPr>
            <w:tcW w:w="874" w:type="dxa"/>
            <w:vMerge/>
            <w:tcBorders>
              <w:top w:val="nil"/>
            </w:tcBorders>
          </w:tcPr>
          <w:p w14:paraId="1E6D280A" w14:textId="77777777" w:rsidR="00B52B61" w:rsidRPr="00B447E7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CA5D3AF" w14:textId="77777777" w:rsidR="00B52B61" w:rsidRPr="00B447E7" w:rsidRDefault="00B52B61" w:rsidP="002073D0">
            <w:pPr>
              <w:pStyle w:val="TableParagraph"/>
              <w:spacing w:before="4"/>
              <w:ind w:right="10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Thy 3a</w:t>
            </w:r>
          </w:p>
        </w:tc>
        <w:tc>
          <w:tcPr>
            <w:tcW w:w="1165" w:type="dxa"/>
          </w:tcPr>
          <w:p w14:paraId="60B6C86C" w14:textId="77777777" w:rsidR="00B52B61" w:rsidRPr="00B447E7" w:rsidRDefault="00B52B61" w:rsidP="002073D0">
            <w:pPr>
              <w:pStyle w:val="TableParagraph"/>
              <w:spacing w:before="4"/>
              <w:ind w:left="133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20 (7%)</w:t>
            </w:r>
          </w:p>
        </w:tc>
        <w:tc>
          <w:tcPr>
            <w:tcW w:w="1071" w:type="dxa"/>
          </w:tcPr>
          <w:p w14:paraId="5F33CDFE" w14:textId="77777777" w:rsidR="00B52B61" w:rsidRPr="00B447E7" w:rsidRDefault="00B52B61" w:rsidP="002073D0">
            <w:pPr>
              <w:pStyle w:val="TableParagraph"/>
              <w:spacing w:before="4"/>
              <w:ind w:left="154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7 (2%)</w:t>
            </w:r>
          </w:p>
        </w:tc>
        <w:tc>
          <w:tcPr>
            <w:tcW w:w="1059" w:type="dxa"/>
          </w:tcPr>
          <w:p w14:paraId="617285A7" w14:textId="77777777" w:rsidR="00B52B61" w:rsidRPr="00B447E7" w:rsidRDefault="00B52B61" w:rsidP="002073D0">
            <w:pPr>
              <w:pStyle w:val="TableParagraph"/>
              <w:spacing w:before="4"/>
              <w:ind w:left="149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19 (6%)</w:t>
            </w:r>
          </w:p>
        </w:tc>
        <w:tc>
          <w:tcPr>
            <w:tcW w:w="1062" w:type="dxa"/>
          </w:tcPr>
          <w:p w14:paraId="017E4598" w14:textId="77777777" w:rsidR="00B52B61" w:rsidRPr="00B447E7" w:rsidRDefault="00B52B61" w:rsidP="002073D0">
            <w:pPr>
              <w:pStyle w:val="TableParagraph"/>
              <w:spacing w:before="4"/>
              <w:ind w:left="148" w:right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33 (11%)</w:t>
            </w:r>
          </w:p>
        </w:tc>
        <w:tc>
          <w:tcPr>
            <w:tcW w:w="1062" w:type="dxa"/>
          </w:tcPr>
          <w:p w14:paraId="6440773D" w14:textId="77777777" w:rsidR="00B52B61" w:rsidRPr="00B447E7" w:rsidRDefault="00B52B61" w:rsidP="002073D0">
            <w:pPr>
              <w:pStyle w:val="TableParagraph"/>
              <w:spacing w:before="4"/>
              <w:ind w:left="148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(1%)</w:t>
            </w:r>
          </w:p>
        </w:tc>
        <w:tc>
          <w:tcPr>
            <w:tcW w:w="1063" w:type="dxa"/>
            <w:shd w:val="clear" w:color="auto" w:fill="D9D9D9"/>
          </w:tcPr>
          <w:p w14:paraId="182B40A5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9D9D9"/>
          </w:tcPr>
          <w:p w14:paraId="4E5BC4F2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14:paraId="319F4AF0" w14:textId="77777777" w:rsidR="00B52B61" w:rsidRPr="00B447E7" w:rsidRDefault="00B52B61" w:rsidP="002073D0">
            <w:pPr>
              <w:pStyle w:val="TableParagraph"/>
              <w:spacing w:before="4"/>
              <w:ind w:left="145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81 (28%)</w:t>
            </w:r>
          </w:p>
        </w:tc>
      </w:tr>
      <w:tr w:rsidR="00B52B61" w:rsidRPr="00B447E7" w14:paraId="6876F9BF" w14:textId="77777777" w:rsidTr="002073D0">
        <w:trPr>
          <w:trHeight w:val="412"/>
        </w:trPr>
        <w:tc>
          <w:tcPr>
            <w:tcW w:w="874" w:type="dxa"/>
            <w:vMerge/>
            <w:tcBorders>
              <w:top w:val="nil"/>
            </w:tcBorders>
          </w:tcPr>
          <w:p w14:paraId="7C3E965B" w14:textId="77777777" w:rsidR="00B52B61" w:rsidRPr="00B447E7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81B19EC" w14:textId="77777777" w:rsidR="00B52B61" w:rsidRPr="00B447E7" w:rsidRDefault="00B52B61" w:rsidP="002073D0">
            <w:pPr>
              <w:pStyle w:val="TableParagraph"/>
              <w:ind w:right="10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Thy 3f</w:t>
            </w:r>
          </w:p>
        </w:tc>
        <w:tc>
          <w:tcPr>
            <w:tcW w:w="1165" w:type="dxa"/>
          </w:tcPr>
          <w:p w14:paraId="12BE25C3" w14:textId="77777777" w:rsidR="00B52B61" w:rsidRPr="00B447E7" w:rsidRDefault="00B52B61" w:rsidP="002073D0">
            <w:pPr>
              <w:pStyle w:val="TableParagraph"/>
              <w:ind w:left="133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16 (5%)</w:t>
            </w:r>
          </w:p>
        </w:tc>
        <w:tc>
          <w:tcPr>
            <w:tcW w:w="1071" w:type="dxa"/>
          </w:tcPr>
          <w:p w14:paraId="23BB7811" w14:textId="77777777" w:rsidR="00B52B61" w:rsidRPr="00B447E7" w:rsidRDefault="00B52B61" w:rsidP="002073D0">
            <w:pPr>
              <w:pStyle w:val="TableParagraph"/>
              <w:ind w:left="154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(1%)</w:t>
            </w:r>
          </w:p>
        </w:tc>
        <w:tc>
          <w:tcPr>
            <w:tcW w:w="1059" w:type="dxa"/>
          </w:tcPr>
          <w:p w14:paraId="69F9EFED" w14:textId="77777777" w:rsidR="00B52B61" w:rsidRPr="00B447E7" w:rsidRDefault="00B52B61" w:rsidP="002073D0">
            <w:pPr>
              <w:pStyle w:val="TableParagraph"/>
              <w:ind w:left="147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(%)</w:t>
            </w:r>
          </w:p>
        </w:tc>
        <w:tc>
          <w:tcPr>
            <w:tcW w:w="1062" w:type="dxa"/>
          </w:tcPr>
          <w:p w14:paraId="34764970" w14:textId="77777777" w:rsidR="00B52B61" w:rsidRPr="00B447E7" w:rsidRDefault="00B52B61" w:rsidP="002073D0">
            <w:pPr>
              <w:pStyle w:val="TableParagraph"/>
              <w:ind w:left="148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62" w:type="dxa"/>
          </w:tcPr>
          <w:p w14:paraId="38EC2E92" w14:textId="77777777" w:rsidR="00B52B61" w:rsidRPr="00B447E7" w:rsidRDefault="00B52B61" w:rsidP="002073D0">
            <w:pPr>
              <w:pStyle w:val="TableParagraph"/>
              <w:ind w:left="147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(0.3%)</w:t>
            </w:r>
          </w:p>
        </w:tc>
        <w:tc>
          <w:tcPr>
            <w:tcW w:w="1063" w:type="dxa"/>
            <w:shd w:val="clear" w:color="auto" w:fill="D9D9D9"/>
          </w:tcPr>
          <w:p w14:paraId="57C36B8F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9D9D9"/>
          </w:tcPr>
          <w:p w14:paraId="7F022297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14:paraId="0FF5EC4D" w14:textId="77777777" w:rsidR="00B52B61" w:rsidRPr="00B447E7" w:rsidRDefault="00B52B61" w:rsidP="002073D0">
            <w:pPr>
              <w:pStyle w:val="TableParagraph"/>
              <w:ind w:left="145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19 (6%)</w:t>
            </w:r>
          </w:p>
        </w:tc>
      </w:tr>
      <w:tr w:rsidR="00B52B61" w:rsidRPr="00B447E7" w14:paraId="234BE922" w14:textId="77777777" w:rsidTr="002073D0">
        <w:trPr>
          <w:trHeight w:val="404"/>
        </w:trPr>
        <w:tc>
          <w:tcPr>
            <w:tcW w:w="874" w:type="dxa"/>
            <w:vMerge/>
            <w:tcBorders>
              <w:top w:val="nil"/>
            </w:tcBorders>
          </w:tcPr>
          <w:p w14:paraId="375801EF" w14:textId="77777777" w:rsidR="00B52B61" w:rsidRPr="00B447E7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64EF6BB" w14:textId="77777777" w:rsidR="00B52B61" w:rsidRPr="00B447E7" w:rsidRDefault="00B52B61" w:rsidP="002073D0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Thy 4</w:t>
            </w:r>
          </w:p>
        </w:tc>
        <w:tc>
          <w:tcPr>
            <w:tcW w:w="1165" w:type="dxa"/>
          </w:tcPr>
          <w:p w14:paraId="5E5C33A8" w14:textId="77777777" w:rsidR="00B52B61" w:rsidRPr="00B447E7" w:rsidRDefault="00B52B61" w:rsidP="002073D0">
            <w:pPr>
              <w:pStyle w:val="TableParagraph"/>
              <w:ind w:left="133" w:right="128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(1%)</w:t>
            </w:r>
          </w:p>
        </w:tc>
        <w:tc>
          <w:tcPr>
            <w:tcW w:w="1071" w:type="dxa"/>
          </w:tcPr>
          <w:p w14:paraId="12369810" w14:textId="77777777" w:rsidR="00B52B61" w:rsidRPr="00B447E7" w:rsidRDefault="00B52B61" w:rsidP="002073D0">
            <w:pPr>
              <w:pStyle w:val="TableParagraph"/>
              <w:ind w:left="154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59" w:type="dxa"/>
          </w:tcPr>
          <w:p w14:paraId="53746418" w14:textId="77777777" w:rsidR="00B52B61" w:rsidRPr="00B447E7" w:rsidRDefault="00B52B61" w:rsidP="002073D0">
            <w:pPr>
              <w:pStyle w:val="TableParagraph"/>
              <w:ind w:left="147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62" w:type="dxa"/>
          </w:tcPr>
          <w:p w14:paraId="3330D518" w14:textId="77777777" w:rsidR="00B52B61" w:rsidRPr="00B447E7" w:rsidRDefault="00B52B61" w:rsidP="002073D0">
            <w:pPr>
              <w:pStyle w:val="TableParagraph"/>
              <w:ind w:left="148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62" w:type="dxa"/>
          </w:tcPr>
          <w:p w14:paraId="736BD487" w14:textId="77777777" w:rsidR="00B52B61" w:rsidRPr="00B447E7" w:rsidRDefault="00B52B61" w:rsidP="002073D0">
            <w:pPr>
              <w:pStyle w:val="TableParagraph"/>
              <w:ind w:left="148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63" w:type="dxa"/>
            <w:shd w:val="clear" w:color="auto" w:fill="D9D9D9"/>
          </w:tcPr>
          <w:p w14:paraId="0AC544F2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9D9D9"/>
          </w:tcPr>
          <w:p w14:paraId="4CF29BCE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14:paraId="125007E7" w14:textId="77777777" w:rsidR="00B52B61" w:rsidRPr="00B447E7" w:rsidRDefault="00B52B61" w:rsidP="002073D0">
            <w:pPr>
              <w:pStyle w:val="TableParagraph"/>
              <w:ind w:left="142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(1%)</w:t>
            </w:r>
          </w:p>
        </w:tc>
      </w:tr>
      <w:tr w:rsidR="00B52B61" w:rsidRPr="00B447E7" w14:paraId="2AFBFD4B" w14:textId="77777777" w:rsidTr="002073D0">
        <w:trPr>
          <w:trHeight w:val="423"/>
        </w:trPr>
        <w:tc>
          <w:tcPr>
            <w:tcW w:w="874" w:type="dxa"/>
            <w:vMerge/>
            <w:tcBorders>
              <w:top w:val="nil"/>
            </w:tcBorders>
          </w:tcPr>
          <w:p w14:paraId="323B8A61" w14:textId="77777777" w:rsidR="00B52B61" w:rsidRPr="00B447E7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1387A97" w14:textId="77777777" w:rsidR="00B52B61" w:rsidRPr="00B447E7" w:rsidRDefault="00B52B61" w:rsidP="002073D0">
            <w:pPr>
              <w:pStyle w:val="TableParagraph"/>
              <w:ind w:right="10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Thy 5</w:t>
            </w:r>
          </w:p>
        </w:tc>
        <w:tc>
          <w:tcPr>
            <w:tcW w:w="1165" w:type="dxa"/>
          </w:tcPr>
          <w:p w14:paraId="5EC3B40B" w14:textId="77777777" w:rsidR="00B52B61" w:rsidRPr="00B447E7" w:rsidRDefault="00B52B61" w:rsidP="002073D0">
            <w:pPr>
              <w:pStyle w:val="TableParagraph"/>
              <w:ind w:left="133" w:right="128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6 (2%)</w:t>
            </w:r>
          </w:p>
        </w:tc>
        <w:tc>
          <w:tcPr>
            <w:tcW w:w="1071" w:type="dxa"/>
          </w:tcPr>
          <w:p w14:paraId="14DEE4E3" w14:textId="77777777" w:rsidR="00B52B61" w:rsidRPr="00B447E7" w:rsidRDefault="00B52B61" w:rsidP="002073D0">
            <w:pPr>
              <w:pStyle w:val="TableParagraph"/>
              <w:ind w:left="154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59" w:type="dxa"/>
          </w:tcPr>
          <w:p w14:paraId="45FF989A" w14:textId="77777777" w:rsidR="00B52B61" w:rsidRPr="00B447E7" w:rsidRDefault="00B52B61" w:rsidP="002073D0">
            <w:pPr>
              <w:pStyle w:val="TableParagraph"/>
              <w:ind w:left="147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62" w:type="dxa"/>
          </w:tcPr>
          <w:p w14:paraId="798E385D" w14:textId="77777777" w:rsidR="00B52B61" w:rsidRPr="00B447E7" w:rsidRDefault="00B52B61" w:rsidP="002073D0">
            <w:pPr>
              <w:pStyle w:val="TableParagraph"/>
              <w:ind w:left="148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62" w:type="dxa"/>
          </w:tcPr>
          <w:p w14:paraId="6015419E" w14:textId="77777777" w:rsidR="00B52B61" w:rsidRPr="00B447E7" w:rsidRDefault="00B52B61" w:rsidP="002073D0">
            <w:pPr>
              <w:pStyle w:val="TableParagraph"/>
              <w:ind w:left="148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63" w:type="dxa"/>
            <w:shd w:val="clear" w:color="auto" w:fill="D9D9D9"/>
          </w:tcPr>
          <w:p w14:paraId="2A8331BA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9D9D9"/>
          </w:tcPr>
          <w:p w14:paraId="0617728F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14:paraId="4C927E16" w14:textId="77777777" w:rsidR="00B52B61" w:rsidRPr="00B447E7" w:rsidRDefault="00B52B61" w:rsidP="002073D0">
            <w:pPr>
              <w:pStyle w:val="TableParagraph"/>
              <w:ind w:left="142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6 (2%)</w:t>
            </w:r>
          </w:p>
        </w:tc>
      </w:tr>
      <w:tr w:rsidR="00B52B61" w:rsidRPr="00B447E7" w14:paraId="32FE991E" w14:textId="77777777" w:rsidTr="002073D0">
        <w:trPr>
          <w:trHeight w:val="401"/>
        </w:trPr>
        <w:tc>
          <w:tcPr>
            <w:tcW w:w="874" w:type="dxa"/>
            <w:vMerge/>
            <w:tcBorders>
              <w:top w:val="nil"/>
            </w:tcBorders>
          </w:tcPr>
          <w:p w14:paraId="2030DDEC" w14:textId="77777777" w:rsidR="00B52B61" w:rsidRPr="00B447E7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DBE58A4" w14:textId="77777777" w:rsidR="00B52B61" w:rsidRPr="00B447E7" w:rsidRDefault="00B52B61" w:rsidP="002073D0">
            <w:pPr>
              <w:pStyle w:val="TableParagraph"/>
              <w:ind w:right="10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165" w:type="dxa"/>
          </w:tcPr>
          <w:p w14:paraId="5A5B3E01" w14:textId="77777777" w:rsidR="00B52B61" w:rsidRPr="00B447E7" w:rsidRDefault="00B52B61" w:rsidP="002073D0">
            <w:pPr>
              <w:pStyle w:val="TableParagraph"/>
              <w:ind w:left="133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147 (50%)</w:t>
            </w:r>
          </w:p>
        </w:tc>
        <w:tc>
          <w:tcPr>
            <w:tcW w:w="1071" w:type="dxa"/>
          </w:tcPr>
          <w:p w14:paraId="79668F91" w14:textId="77777777" w:rsidR="00B52B61" w:rsidRPr="00B447E7" w:rsidRDefault="00B52B61" w:rsidP="002073D0">
            <w:pPr>
              <w:pStyle w:val="TableParagraph"/>
              <w:ind w:left="154" w:righ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49 (17%)</w:t>
            </w:r>
          </w:p>
        </w:tc>
        <w:tc>
          <w:tcPr>
            <w:tcW w:w="1059" w:type="dxa"/>
          </w:tcPr>
          <w:p w14:paraId="6E9E9A65" w14:textId="77777777" w:rsidR="00B52B61" w:rsidRPr="00B447E7" w:rsidRDefault="00B52B61" w:rsidP="002073D0">
            <w:pPr>
              <w:pStyle w:val="TableParagraph"/>
              <w:ind w:left="149" w:right="145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37 (13%)</w:t>
            </w:r>
          </w:p>
        </w:tc>
        <w:tc>
          <w:tcPr>
            <w:tcW w:w="1062" w:type="dxa"/>
          </w:tcPr>
          <w:p w14:paraId="5596041C" w14:textId="77777777" w:rsidR="00B52B61" w:rsidRPr="00B447E7" w:rsidRDefault="00B52B61" w:rsidP="002073D0">
            <w:pPr>
              <w:pStyle w:val="TableParagraph"/>
              <w:ind w:left="148" w:right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54 (18%)</w:t>
            </w:r>
          </w:p>
        </w:tc>
        <w:tc>
          <w:tcPr>
            <w:tcW w:w="1062" w:type="dxa"/>
          </w:tcPr>
          <w:p w14:paraId="772883E7" w14:textId="77777777" w:rsidR="00B52B61" w:rsidRPr="00B447E7" w:rsidRDefault="00B52B61" w:rsidP="002073D0">
            <w:pPr>
              <w:pStyle w:val="TableParagraph"/>
              <w:ind w:left="148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7 (2%)</w:t>
            </w:r>
          </w:p>
        </w:tc>
        <w:tc>
          <w:tcPr>
            <w:tcW w:w="1063" w:type="dxa"/>
            <w:shd w:val="clear" w:color="auto" w:fill="D9D9D9"/>
          </w:tcPr>
          <w:p w14:paraId="68593E09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9D9D9"/>
          </w:tcPr>
          <w:p w14:paraId="42ADC8B2" w14:textId="77777777" w:rsidR="00B52B61" w:rsidRPr="00B447E7" w:rsidRDefault="00B52B61" w:rsidP="002073D0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14:paraId="1FF91DF2" w14:textId="77777777" w:rsidR="00B52B61" w:rsidRPr="00B447E7" w:rsidRDefault="00B52B61" w:rsidP="002073D0">
            <w:pPr>
              <w:pStyle w:val="TableParagraph"/>
              <w:ind w:left="142" w:right="1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294</w:t>
            </w:r>
          </w:p>
        </w:tc>
      </w:tr>
    </w:tbl>
    <w:p w14:paraId="6C44E352" w14:textId="77777777" w:rsidR="00B52B61" w:rsidRDefault="00B52B61" w:rsidP="00B52B6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1AF4F" w14:textId="77777777" w:rsidR="00B52B61" w:rsidRDefault="00B52B61" w:rsidP="00B52B61">
      <w:pPr>
        <w:spacing w:before="7"/>
        <w:rPr>
          <w:rFonts w:ascii="Times New Roman" w:hAnsi="Times New Roman" w:cs="Times New Roman"/>
          <w:sz w:val="16"/>
          <w:szCs w:val="16"/>
        </w:rPr>
      </w:pPr>
    </w:p>
    <w:p w14:paraId="6C3F408A" w14:textId="77777777" w:rsidR="00B52B61" w:rsidRPr="00B447E7" w:rsidRDefault="00B52B61" w:rsidP="00B52B61">
      <w:pPr>
        <w:spacing w:before="7"/>
        <w:rPr>
          <w:rFonts w:ascii="Times New Roman" w:hAnsi="Times New Roman" w:cs="Times New Roman"/>
          <w:sz w:val="16"/>
          <w:szCs w:val="16"/>
        </w:rPr>
      </w:pPr>
      <w:r w:rsidRPr="00B447E7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>Four</w:t>
      </w:r>
      <w:r w:rsidRPr="00B447E7">
        <w:rPr>
          <w:rFonts w:ascii="Times New Roman" w:hAnsi="Times New Roman" w:cs="Times New Roman"/>
          <w:sz w:val="16"/>
          <w:szCs w:val="16"/>
        </w:rPr>
        <w:t xml:space="preserve"> participants withdrawn; </w:t>
      </w:r>
      <w:r>
        <w:rPr>
          <w:rFonts w:ascii="Times New Roman" w:hAnsi="Times New Roman" w:cs="Times New Roman"/>
          <w:sz w:val="16"/>
          <w:szCs w:val="16"/>
        </w:rPr>
        <w:t>one</w:t>
      </w:r>
      <w:r w:rsidRPr="00B447E7">
        <w:rPr>
          <w:rFonts w:ascii="Times New Roman" w:hAnsi="Times New Roman" w:cs="Times New Roman"/>
          <w:sz w:val="16"/>
          <w:szCs w:val="16"/>
        </w:rPr>
        <w:t xml:space="preserve"> participant’s nodule disappeared; </w:t>
      </w:r>
      <w:r>
        <w:rPr>
          <w:rFonts w:ascii="Times New Roman" w:hAnsi="Times New Roman" w:cs="Times New Roman"/>
          <w:sz w:val="16"/>
          <w:szCs w:val="16"/>
        </w:rPr>
        <w:t>one</w:t>
      </w:r>
      <w:r w:rsidRPr="00B447E7">
        <w:rPr>
          <w:rFonts w:ascii="Times New Roman" w:hAnsi="Times New Roman" w:cs="Times New Roman"/>
          <w:sz w:val="16"/>
          <w:szCs w:val="16"/>
        </w:rPr>
        <w:t xml:space="preserve"> 1</w:t>
      </w:r>
      <w:r w:rsidRPr="00B447E7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B447E7">
        <w:rPr>
          <w:rFonts w:ascii="Times New Roman" w:hAnsi="Times New Roman" w:cs="Times New Roman"/>
          <w:sz w:val="16"/>
          <w:szCs w:val="16"/>
        </w:rPr>
        <w:t xml:space="preserve"> FNAC result not returned; and </w:t>
      </w:r>
      <w:r>
        <w:rPr>
          <w:rFonts w:ascii="Times New Roman" w:hAnsi="Times New Roman" w:cs="Times New Roman"/>
          <w:sz w:val="16"/>
          <w:szCs w:val="16"/>
        </w:rPr>
        <w:t>one</w:t>
      </w:r>
      <w:r w:rsidRPr="00B447E7">
        <w:rPr>
          <w:rFonts w:ascii="Times New Roman" w:hAnsi="Times New Roman" w:cs="Times New Roman"/>
          <w:sz w:val="16"/>
          <w:szCs w:val="16"/>
        </w:rPr>
        <w:t xml:space="preserve"> participant’s 1</w:t>
      </w:r>
      <w:r w:rsidRPr="00B447E7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B447E7">
        <w:rPr>
          <w:rFonts w:ascii="Times New Roman" w:hAnsi="Times New Roman" w:cs="Times New Roman"/>
          <w:sz w:val="16"/>
          <w:szCs w:val="16"/>
        </w:rPr>
        <w:t xml:space="preserve"> FNAC returned incomplete</w:t>
      </w:r>
    </w:p>
    <w:p w14:paraId="519BDBFA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52EABF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0494EC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22562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1F0FFFD" w14:textId="77777777" w:rsidR="00B52B61" w:rsidRDefault="00B52B61" w:rsidP="00B52B61">
      <w:pPr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3CEF">
        <w:rPr>
          <w:rFonts w:ascii="Times New Roman" w:eastAsia="Times New Roman" w:hAnsi="Times New Roman" w:cs="Times New Roman"/>
          <w:b/>
          <w:bCs/>
          <w:sz w:val="20"/>
          <w:szCs w:val="20"/>
        </w:rPr>
        <w:t>Table 5: Agreement between 1</w:t>
      </w:r>
      <w:r w:rsidRPr="009F3CEF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Pr="009F3C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FNAC and 2</w:t>
      </w:r>
      <w:r w:rsidRPr="009F3CEF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 xml:space="preserve">nd </w:t>
      </w:r>
      <w:r w:rsidRPr="009F3CEF">
        <w:rPr>
          <w:rFonts w:ascii="Times New Roman" w:eastAsia="Times New Roman" w:hAnsi="Times New Roman" w:cs="Times New Roman"/>
          <w:b/>
          <w:bCs/>
          <w:sz w:val="20"/>
          <w:szCs w:val="20"/>
        </w:rPr>
        <w:t>FNAC</w:t>
      </w:r>
    </w:p>
    <w:p w14:paraId="0599493B" w14:textId="77777777" w:rsidR="00B52B61" w:rsidRPr="009F3CEF" w:rsidRDefault="00B52B61" w:rsidP="00B52B61">
      <w:pPr>
        <w:spacing w:line="276" w:lineRule="auto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030"/>
        <w:gridCol w:w="1920"/>
        <w:gridCol w:w="1815"/>
        <w:gridCol w:w="1650"/>
      </w:tblGrid>
      <w:tr w:rsidR="00B52B61" w14:paraId="401AB774" w14:textId="77777777" w:rsidTr="002073D0">
        <w:trPr>
          <w:trHeight w:val="679"/>
        </w:trPr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1860" w14:textId="77777777" w:rsidR="00B52B61" w:rsidRPr="009F3CEF" w:rsidRDefault="00B52B61" w:rsidP="002073D0">
            <w:pPr>
              <w:spacing w:line="276" w:lineRule="auto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00B4" w14:textId="77777777" w:rsidR="00B52B61" w:rsidRPr="009F3CEF" w:rsidRDefault="00B52B61" w:rsidP="002073D0">
            <w:pPr>
              <w:spacing w:after="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nd</w:t>
            </w: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FNAC</w:t>
            </w:r>
          </w:p>
          <w:p w14:paraId="673ECD75" w14:textId="77777777" w:rsidR="00B52B61" w:rsidRPr="009F3CEF" w:rsidRDefault="00B52B61" w:rsidP="002073D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Malignant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FA10" w14:textId="77777777" w:rsidR="00B52B61" w:rsidRPr="009F3CEF" w:rsidRDefault="00B52B61" w:rsidP="002073D0">
            <w:pPr>
              <w:spacing w:after="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 xml:space="preserve">nd </w:t>
            </w: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FNAC</w:t>
            </w:r>
          </w:p>
          <w:p w14:paraId="5CF21B9E" w14:textId="77777777" w:rsidR="00B52B61" w:rsidRPr="009F3CEF" w:rsidRDefault="00B52B61" w:rsidP="002073D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Benign</w:t>
            </w:r>
          </w:p>
        </w:tc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424" w14:textId="77777777" w:rsidR="00B52B61" w:rsidRPr="009F3CEF" w:rsidRDefault="00B52B61" w:rsidP="002073D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</w:tr>
      <w:tr w:rsidR="00B52B61" w14:paraId="3EE2FFE1" w14:textId="77777777" w:rsidTr="002073D0">
        <w:trPr>
          <w:trHeight w:val="840"/>
        </w:trPr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B6D4" w14:textId="77777777" w:rsidR="00B52B61" w:rsidRPr="009F3CEF" w:rsidRDefault="00B52B61" w:rsidP="002073D0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 xml:space="preserve">st </w:t>
            </w: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FNAC Malignant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CD1E" w14:textId="77777777" w:rsidR="00B52B61" w:rsidRPr="009F3CEF" w:rsidRDefault="00B52B61" w:rsidP="002073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B32B" w14:textId="77777777" w:rsidR="00B52B61" w:rsidRPr="009F3CEF" w:rsidRDefault="00B52B61" w:rsidP="002073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4619" w14:textId="77777777" w:rsidR="00B52B61" w:rsidRPr="009F3CEF" w:rsidRDefault="00B52B61" w:rsidP="002073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B52B61" w14:paraId="597A1C5B" w14:textId="77777777" w:rsidTr="002073D0">
        <w:trPr>
          <w:trHeight w:val="840"/>
        </w:trPr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2991" w14:textId="77777777" w:rsidR="00B52B61" w:rsidRPr="009F3CEF" w:rsidRDefault="00B52B61" w:rsidP="002073D0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 xml:space="preserve">st </w:t>
            </w: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FNAC Benign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5673" w14:textId="77777777" w:rsidR="00B52B61" w:rsidRPr="009F3CEF" w:rsidRDefault="00B52B61" w:rsidP="002073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4B25" w14:textId="77777777" w:rsidR="00B52B61" w:rsidRPr="009F3CEF" w:rsidRDefault="00B52B61" w:rsidP="002073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D4AF" w14:textId="77777777" w:rsidR="00B52B61" w:rsidRPr="009F3CEF" w:rsidRDefault="00B52B61" w:rsidP="002073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</w:tr>
      <w:tr w:rsidR="00B52B61" w14:paraId="5AFEB9F6" w14:textId="77777777" w:rsidTr="002073D0">
        <w:trPr>
          <w:trHeight w:val="630"/>
        </w:trPr>
        <w:tc>
          <w:tcPr>
            <w:tcW w:w="3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C6A5" w14:textId="77777777" w:rsidR="00B52B61" w:rsidRPr="009F3CEF" w:rsidRDefault="00B52B61" w:rsidP="002073D0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7DE3" w14:textId="77777777" w:rsidR="00B52B61" w:rsidRPr="009F3CEF" w:rsidRDefault="00B52B61" w:rsidP="002073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2E0E" w14:textId="77777777" w:rsidR="00B52B61" w:rsidRPr="009F3CEF" w:rsidRDefault="00B52B61" w:rsidP="002073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9898" w14:textId="77777777" w:rsidR="00B52B61" w:rsidRPr="009F3CEF" w:rsidRDefault="00B52B61" w:rsidP="002073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3CEF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</w:tr>
    </w:tbl>
    <w:p w14:paraId="7930FBCA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386406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622CE4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12A8D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A49A7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84AC2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8CC12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98EFB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EEEC0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A2519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E18C2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89ACD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77986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DD55B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EEF6D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433F7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A5EE1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6908B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3DDD0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1730B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737DA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66B48" w14:textId="77777777" w:rsidR="00B52B61" w:rsidRDefault="00B52B61" w:rsidP="00B52B61">
      <w:pPr>
        <w:spacing w:line="254" w:lineRule="auto"/>
      </w:pPr>
    </w:p>
    <w:p w14:paraId="3E0E6EC4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3CEF">
        <w:rPr>
          <w:rFonts w:ascii="Times New Roman" w:eastAsia="Times New Roman" w:hAnsi="Times New Roman" w:cs="Times New Roman"/>
          <w:b/>
          <w:bCs/>
          <w:sz w:val="20"/>
          <w:szCs w:val="20"/>
        </w:rPr>
        <w:t>Table 6:  Sensitivity analyses of US-alone compared with US-FNAC accuracy in malignant nodules</w:t>
      </w:r>
    </w:p>
    <w:p w14:paraId="4ABC253A" w14:textId="77777777" w:rsidR="00B52B61" w:rsidRPr="009F3CEF" w:rsidRDefault="00B52B61" w:rsidP="00B52B61">
      <w:pPr>
        <w:spacing w:line="254" w:lineRule="auto"/>
        <w:rPr>
          <w:b/>
          <w:bCs/>
          <w:sz w:val="20"/>
          <w:szCs w:val="20"/>
        </w:rPr>
      </w:pPr>
      <w:r w:rsidRPr="009F3C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980"/>
        <w:gridCol w:w="1545"/>
        <w:gridCol w:w="1275"/>
        <w:gridCol w:w="1095"/>
        <w:gridCol w:w="1515"/>
        <w:gridCol w:w="1515"/>
      </w:tblGrid>
      <w:tr w:rsidR="00B52B61" w14:paraId="2BBC06B3" w14:textId="77777777" w:rsidTr="002073D0">
        <w:trPr>
          <w:trHeight w:val="765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FB9C" w14:textId="77777777" w:rsidR="00B52B61" w:rsidRPr="009F3CEF" w:rsidRDefault="00B52B61" w:rsidP="002073D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6BD5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US-FNAC</w:t>
            </w:r>
          </w:p>
          <w:p w14:paraId="6A9EB440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Malignant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EE57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US-FNAC</w:t>
            </w:r>
          </w:p>
          <w:p w14:paraId="78455971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Benign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3C17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F187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Sensitivity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CA91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US-FNAC Sensitivity</w:t>
            </w:r>
          </w:p>
        </w:tc>
      </w:tr>
      <w:tr w:rsidR="00B52B61" w14:paraId="7D50C6C4" w14:textId="77777777" w:rsidTr="002073D0">
        <w:trPr>
          <w:trHeight w:val="435"/>
        </w:trPr>
        <w:tc>
          <w:tcPr>
            <w:tcW w:w="892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DBC3" w14:textId="77777777" w:rsidR="00B52B61" w:rsidRPr="009F3CEF" w:rsidRDefault="00B52B61" w:rsidP="002073D0">
            <w:pPr>
              <w:spacing w:after="0"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Assuming Thy1 results are benign</w:t>
            </w:r>
          </w:p>
        </w:tc>
      </w:tr>
      <w:tr w:rsidR="00B52B61" w14:paraId="48B5395F" w14:textId="77777777" w:rsidTr="002073D0">
        <w:trPr>
          <w:trHeight w:val="39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41DE" w14:textId="77777777" w:rsidR="00B52B61" w:rsidRPr="009F3CEF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Malignant</w:t>
            </w:r>
          </w:p>
        </w:tc>
        <w:tc>
          <w:tcPr>
            <w:tcW w:w="15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B473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483E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294C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30FC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0.91</w:t>
            </w:r>
          </w:p>
          <w:p w14:paraId="1AA90E70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(0.85, 0.97)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9ED3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0.85</w:t>
            </w:r>
          </w:p>
          <w:p w14:paraId="0728F114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(0.77, 0.93)</w:t>
            </w:r>
          </w:p>
        </w:tc>
      </w:tr>
      <w:tr w:rsidR="00B52B61" w14:paraId="20459F88" w14:textId="77777777" w:rsidTr="002073D0">
        <w:trPr>
          <w:trHeight w:val="498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D8B0" w14:textId="77777777" w:rsidR="00B52B61" w:rsidRPr="009F3CEF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Benign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B658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4914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4873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1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2748DB" w14:textId="77777777" w:rsidR="00B52B61" w:rsidRPr="009F3CEF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122D4AC" w14:textId="77777777" w:rsidR="00B52B61" w:rsidRPr="009F3CEF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14:paraId="26127A78" w14:textId="77777777" w:rsidTr="002073D0">
        <w:trPr>
          <w:trHeight w:val="435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DE1A" w14:textId="77777777" w:rsidR="00B52B61" w:rsidRPr="009F3CEF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600A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3C3E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03D8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4FD6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p=0.17</w:t>
            </w:r>
          </w:p>
        </w:tc>
      </w:tr>
      <w:tr w:rsidR="00B52B61" w14:paraId="131EB191" w14:textId="77777777" w:rsidTr="002073D0">
        <w:trPr>
          <w:trHeight w:val="435"/>
        </w:trPr>
        <w:tc>
          <w:tcPr>
            <w:tcW w:w="892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0A23" w14:textId="77777777" w:rsidR="00B52B61" w:rsidRPr="009F3CEF" w:rsidRDefault="00B52B61" w:rsidP="002073D0">
            <w:pPr>
              <w:spacing w:after="0"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Assumptions placed on missing FDD</w:t>
            </w:r>
          </w:p>
        </w:tc>
      </w:tr>
      <w:tr w:rsidR="00B52B61" w14:paraId="0075E2F7" w14:textId="77777777" w:rsidTr="002073D0">
        <w:trPr>
          <w:trHeight w:val="441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BAC8" w14:textId="77777777" w:rsidR="00B52B61" w:rsidRPr="009F3CEF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Malignant</w:t>
            </w:r>
          </w:p>
        </w:tc>
        <w:tc>
          <w:tcPr>
            <w:tcW w:w="15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397C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380B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CA59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95B2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0.90</w:t>
            </w:r>
          </w:p>
          <w:p w14:paraId="63728D93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(0.85, 0.95)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3E48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0.87</w:t>
            </w:r>
          </w:p>
          <w:p w14:paraId="03982FFE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(0.82, 0.93)</w:t>
            </w:r>
          </w:p>
        </w:tc>
      </w:tr>
      <w:tr w:rsidR="00B52B61" w14:paraId="256E5560" w14:textId="77777777" w:rsidTr="002073D0">
        <w:trPr>
          <w:trHeight w:val="507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E057" w14:textId="77777777" w:rsidR="00B52B61" w:rsidRPr="009F3CEF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Benign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55CD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89DF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CECE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1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BDAA7C8" w14:textId="77777777" w:rsidR="00B52B61" w:rsidRPr="009F3CEF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E636032" w14:textId="77777777" w:rsidR="00B52B61" w:rsidRPr="009F3CEF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14:paraId="3D656CC3" w14:textId="77777777" w:rsidTr="002073D0">
        <w:trPr>
          <w:trHeight w:val="435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1D58" w14:textId="77777777" w:rsidR="00B52B61" w:rsidRPr="009F3CEF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67CD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EB1A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3729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FD55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p=0.43</w:t>
            </w:r>
          </w:p>
        </w:tc>
      </w:tr>
      <w:tr w:rsidR="00B52B61" w14:paraId="60820601" w14:textId="77777777" w:rsidTr="002073D0">
        <w:trPr>
          <w:trHeight w:val="435"/>
        </w:trPr>
        <w:tc>
          <w:tcPr>
            <w:tcW w:w="892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483B" w14:textId="77777777" w:rsidR="00B52B61" w:rsidRPr="009F3CEF" w:rsidRDefault="00B52B61" w:rsidP="002073D0">
            <w:pPr>
              <w:spacing w:after="0"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Assuming Thy1 results are </w:t>
            </w:r>
            <w:proofErr w:type="gramStart"/>
            <w:r w:rsidRPr="009F3CEF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benign</w:t>
            </w:r>
            <w:proofErr w:type="gramEnd"/>
            <w:r w:rsidRPr="009F3CEF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and assumptions placed on missing FDD</w:t>
            </w:r>
          </w:p>
        </w:tc>
      </w:tr>
      <w:tr w:rsidR="00B52B61" w14:paraId="6012A430" w14:textId="77777777" w:rsidTr="002073D0">
        <w:trPr>
          <w:trHeight w:val="452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36E4" w14:textId="77777777" w:rsidR="00B52B61" w:rsidRPr="009F3CEF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Malignant</w:t>
            </w:r>
          </w:p>
        </w:tc>
        <w:tc>
          <w:tcPr>
            <w:tcW w:w="15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C390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332B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D9E0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5DBD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0.90</w:t>
            </w:r>
          </w:p>
          <w:p w14:paraId="5064DCC6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(0.85, 0.95)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6BD9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0.82</w:t>
            </w:r>
          </w:p>
          <w:p w14:paraId="02144E76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(0.76, 0.88)</w:t>
            </w:r>
          </w:p>
        </w:tc>
      </w:tr>
      <w:tr w:rsidR="00B52B61" w14:paraId="2E6506E2" w14:textId="77777777" w:rsidTr="002073D0">
        <w:trPr>
          <w:trHeight w:val="476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9C6E" w14:textId="77777777" w:rsidR="00B52B61" w:rsidRPr="009F3CEF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Benign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B1461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C712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E4DD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1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F6DEB6" w14:textId="77777777" w:rsidR="00B52B61" w:rsidRPr="009F3CEF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3CA993A" w14:textId="77777777" w:rsidR="00B52B61" w:rsidRPr="009F3CEF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14:paraId="0BE7129E" w14:textId="77777777" w:rsidTr="002073D0">
        <w:trPr>
          <w:trHeight w:val="435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EA82" w14:textId="77777777" w:rsidR="00B52B61" w:rsidRPr="009F3CEF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7855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3F81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FD8C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BAD9" w14:textId="77777777" w:rsidR="00B52B61" w:rsidRPr="009F3CEF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EF">
              <w:rPr>
                <w:rFonts w:ascii="Times New Roman" w:eastAsia="Tahoma" w:hAnsi="Times New Roman" w:cs="Times New Roman"/>
                <w:sz w:val="16"/>
                <w:szCs w:val="16"/>
              </w:rPr>
              <w:t>p=0.03</w:t>
            </w:r>
          </w:p>
        </w:tc>
      </w:tr>
    </w:tbl>
    <w:p w14:paraId="3AC1ED92" w14:textId="77777777" w:rsidR="00B52B61" w:rsidRDefault="00B52B61" w:rsidP="00B52B61">
      <w:pPr>
        <w:spacing w:before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C3E064" w14:textId="77777777" w:rsidR="00B52B61" w:rsidRDefault="00B52B61" w:rsidP="00B52B61">
      <w:pPr>
        <w:spacing w:before="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43AD0" w14:textId="77777777" w:rsidR="00B52B61" w:rsidRDefault="00B52B61" w:rsidP="00B52B61">
      <w:pPr>
        <w:spacing w:before="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11947" w14:textId="77777777" w:rsidR="00B52B61" w:rsidRDefault="00B52B61" w:rsidP="00B52B61">
      <w:pPr>
        <w:spacing w:before="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378DB" w14:textId="77777777" w:rsidR="00B52B61" w:rsidRDefault="00B52B61" w:rsidP="00B52B61">
      <w:pPr>
        <w:spacing w:before="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04F03" w14:textId="77777777" w:rsidR="00B52B61" w:rsidRDefault="00B52B61" w:rsidP="00B52B61">
      <w:pPr>
        <w:spacing w:before="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3FDAE" w14:textId="77777777" w:rsidR="00B52B61" w:rsidRDefault="00B52B61" w:rsidP="00B52B61">
      <w:pPr>
        <w:spacing w:before="40" w:line="276" w:lineRule="auto"/>
      </w:pPr>
    </w:p>
    <w:p w14:paraId="6187E303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1CCC06" w14:textId="77777777" w:rsidR="00B52B61" w:rsidRDefault="00B52B61" w:rsidP="00B52B61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BC52B" w14:textId="77777777" w:rsidR="00B52B61" w:rsidRDefault="00B52B61" w:rsidP="00B52B61">
      <w:pPr>
        <w:spacing w:line="254" w:lineRule="auto"/>
      </w:pPr>
    </w:p>
    <w:p w14:paraId="2057C4EF" w14:textId="77777777" w:rsidR="00B52B61" w:rsidRDefault="00B52B61" w:rsidP="00B52B61">
      <w:pPr>
        <w:spacing w:line="254" w:lineRule="auto"/>
      </w:pPr>
    </w:p>
    <w:p w14:paraId="622AD525" w14:textId="77777777" w:rsidR="00B52B61" w:rsidRDefault="00B52B61" w:rsidP="00B52B61">
      <w:pPr>
        <w:spacing w:line="254" w:lineRule="auto"/>
      </w:pPr>
    </w:p>
    <w:p w14:paraId="203FE1DB" w14:textId="77777777" w:rsidR="00B52B61" w:rsidRPr="00104988" w:rsidRDefault="00B52B61" w:rsidP="00B52B61">
      <w:pPr>
        <w:spacing w:before="40" w:line="254" w:lineRule="auto"/>
        <w:rPr>
          <w:b/>
          <w:bCs/>
          <w:sz w:val="20"/>
          <w:szCs w:val="20"/>
        </w:rPr>
      </w:pPr>
      <w:r w:rsidRPr="001049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7: Sensitivity analyses of US-alone compared with US-FNAC accuracy in benign nodules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920"/>
        <w:gridCol w:w="1545"/>
        <w:gridCol w:w="1365"/>
        <w:gridCol w:w="1065"/>
        <w:gridCol w:w="1485"/>
        <w:gridCol w:w="1485"/>
      </w:tblGrid>
      <w:tr w:rsidR="00B52B61" w:rsidRPr="00104988" w14:paraId="1A0AD4C9" w14:textId="77777777" w:rsidTr="002073D0">
        <w:trPr>
          <w:trHeight w:val="603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5A3C" w14:textId="77777777" w:rsidR="00B52B61" w:rsidRPr="00104988" w:rsidRDefault="00B52B61" w:rsidP="002073D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A9B2C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US-FNAC</w:t>
            </w:r>
          </w:p>
          <w:p w14:paraId="555FA5A0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Malignant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BF45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US-FNAC</w:t>
            </w:r>
          </w:p>
          <w:p w14:paraId="2DF3933C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Benign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1E1D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3D04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US-FNAC Specificity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8D4F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US-FNAC Specificity</w:t>
            </w:r>
          </w:p>
        </w:tc>
      </w:tr>
      <w:tr w:rsidR="00B52B61" w:rsidRPr="00104988" w14:paraId="74963882" w14:textId="77777777" w:rsidTr="002073D0">
        <w:trPr>
          <w:trHeight w:val="343"/>
        </w:trPr>
        <w:tc>
          <w:tcPr>
            <w:tcW w:w="886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E8A1" w14:textId="77777777" w:rsidR="00B52B61" w:rsidRPr="00104988" w:rsidRDefault="00B52B61" w:rsidP="002073D0">
            <w:pPr>
              <w:spacing w:after="0"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Assuming Thy1 results are malignant</w:t>
            </w:r>
          </w:p>
        </w:tc>
      </w:tr>
      <w:tr w:rsidR="00B52B61" w:rsidRPr="00104988" w14:paraId="14730888" w14:textId="77777777" w:rsidTr="002073D0">
        <w:trPr>
          <w:trHeight w:val="351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D321" w14:textId="77777777" w:rsidR="00B52B61" w:rsidRPr="00104988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Malignant</w:t>
            </w:r>
          </w:p>
        </w:tc>
        <w:tc>
          <w:tcPr>
            <w:tcW w:w="15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753B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FC8C" w14:textId="77777777" w:rsidR="00B52B61" w:rsidRPr="00104988" w:rsidRDefault="00B52B61" w:rsidP="002073D0">
            <w:pPr>
              <w:tabs>
                <w:tab w:val="center" w:pos="722"/>
              </w:tabs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0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75D5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2BD9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0.46</w:t>
            </w:r>
          </w:p>
          <w:p w14:paraId="16C7D18B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(0.40, 0.52)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6D55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0.60</w:t>
            </w:r>
          </w:p>
          <w:p w14:paraId="46751352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(0.54, 0.66)</w:t>
            </w:r>
          </w:p>
        </w:tc>
      </w:tr>
      <w:tr w:rsidR="00B52B61" w:rsidRPr="00104988" w14:paraId="6B70D1D7" w14:textId="77777777" w:rsidTr="002073D0">
        <w:trPr>
          <w:trHeight w:val="359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17C9" w14:textId="77777777" w:rsidR="00B52B61" w:rsidRPr="00104988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Benign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2D58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7312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34CF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6E9B6AC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F11DDA4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104988" w14:paraId="0E54A702" w14:textId="77777777" w:rsidTr="002073D0">
        <w:trPr>
          <w:trHeight w:val="340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0948" w14:textId="77777777" w:rsidR="00B52B61" w:rsidRPr="00104988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09D0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57AB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EC33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297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3965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p=0.0001</w:t>
            </w:r>
          </w:p>
        </w:tc>
      </w:tr>
      <w:tr w:rsidR="00B52B61" w:rsidRPr="00104988" w14:paraId="3439AAF4" w14:textId="77777777" w:rsidTr="002073D0">
        <w:trPr>
          <w:trHeight w:val="364"/>
        </w:trPr>
        <w:tc>
          <w:tcPr>
            <w:tcW w:w="886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A249" w14:textId="77777777" w:rsidR="00B52B61" w:rsidRPr="00104988" w:rsidRDefault="00B52B61" w:rsidP="002073D0">
            <w:pPr>
              <w:spacing w:after="0"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Assumptions placed on missing FDD</w:t>
            </w:r>
          </w:p>
        </w:tc>
      </w:tr>
      <w:tr w:rsidR="00B52B61" w:rsidRPr="00104988" w14:paraId="0E15BB96" w14:textId="77777777" w:rsidTr="002073D0">
        <w:trPr>
          <w:trHeight w:val="327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23B7" w14:textId="77777777" w:rsidR="00B52B61" w:rsidRPr="00104988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Malignant</w:t>
            </w:r>
          </w:p>
        </w:tc>
        <w:tc>
          <w:tcPr>
            <w:tcW w:w="15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EB7D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E33D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8A48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ADF3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0.41</w:t>
            </w:r>
          </w:p>
          <w:p w14:paraId="1DECE2D3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(0.35, 0.47)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7E30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0.72</w:t>
            </w:r>
          </w:p>
          <w:p w14:paraId="10E3CBFF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(0.67, 0.77)</w:t>
            </w:r>
          </w:p>
        </w:tc>
      </w:tr>
      <w:tr w:rsidR="00B52B61" w:rsidRPr="00104988" w14:paraId="6E4F6D03" w14:textId="77777777" w:rsidTr="002073D0">
        <w:trPr>
          <w:trHeight w:val="349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1F53" w14:textId="77777777" w:rsidR="00B52B61" w:rsidRPr="00104988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Benign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B3B1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6B30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DAC5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BEB723D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28A4A40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104988" w14:paraId="2FA924E6" w14:textId="77777777" w:rsidTr="002073D0">
        <w:trPr>
          <w:trHeight w:val="343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FE47" w14:textId="77777777" w:rsidR="00B52B61" w:rsidRPr="00104988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E319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3947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5B18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297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7CC3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p&lt;0.0001</w:t>
            </w:r>
          </w:p>
        </w:tc>
      </w:tr>
      <w:tr w:rsidR="00B52B61" w:rsidRPr="00104988" w14:paraId="27EA6E6B" w14:textId="77777777" w:rsidTr="002073D0">
        <w:trPr>
          <w:trHeight w:val="316"/>
        </w:trPr>
        <w:tc>
          <w:tcPr>
            <w:tcW w:w="886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6027" w14:textId="77777777" w:rsidR="00B52B61" w:rsidRPr="00104988" w:rsidRDefault="00B52B61" w:rsidP="002073D0">
            <w:pPr>
              <w:spacing w:after="0"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Assuming Thy1 results are </w:t>
            </w:r>
            <w:proofErr w:type="gramStart"/>
            <w:r w:rsidRPr="0010498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malignant</w:t>
            </w:r>
            <w:proofErr w:type="gramEnd"/>
            <w:r w:rsidRPr="0010498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and assumptions placed on missing FDD</w:t>
            </w:r>
          </w:p>
        </w:tc>
      </w:tr>
      <w:tr w:rsidR="00B52B61" w:rsidRPr="00104988" w14:paraId="7FA73D9C" w14:textId="77777777" w:rsidTr="002073D0">
        <w:trPr>
          <w:trHeight w:val="373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C5D3" w14:textId="77777777" w:rsidR="00B52B61" w:rsidRPr="00104988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Malignant</w:t>
            </w:r>
          </w:p>
        </w:tc>
        <w:tc>
          <w:tcPr>
            <w:tcW w:w="15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3061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D554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B40F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744B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0.39</w:t>
            </w:r>
          </w:p>
          <w:p w14:paraId="3BE66113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(0.33, 0.44)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EB40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0.63</w:t>
            </w:r>
          </w:p>
          <w:p w14:paraId="401BA575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(0.58, 0.69)</w:t>
            </w:r>
          </w:p>
        </w:tc>
      </w:tr>
      <w:tr w:rsidR="00B52B61" w:rsidRPr="00104988" w14:paraId="31A047ED" w14:textId="77777777" w:rsidTr="002073D0">
        <w:trPr>
          <w:trHeight w:val="354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8E25" w14:textId="77777777" w:rsidR="00B52B61" w:rsidRPr="00104988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Benign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00AE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C185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C887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670F29B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17FF0D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104988" w14:paraId="2D58457E" w14:textId="77777777" w:rsidTr="002073D0">
        <w:trPr>
          <w:trHeight w:val="347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1D65" w14:textId="77777777" w:rsidR="00B52B61" w:rsidRPr="00104988" w:rsidRDefault="00B52B61" w:rsidP="002073D0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A4C6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2E27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4923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297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9BAE" w14:textId="77777777" w:rsidR="00B52B61" w:rsidRPr="00104988" w:rsidRDefault="00B52B61" w:rsidP="002073D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p&lt;0.0001</w:t>
            </w:r>
          </w:p>
        </w:tc>
      </w:tr>
      <w:tr w:rsidR="00B52B61" w:rsidRPr="00104988" w14:paraId="69CC6A4D" w14:textId="77777777" w:rsidTr="002073D0">
        <w:trPr>
          <w:trHeight w:val="280"/>
        </w:trPr>
        <w:tc>
          <w:tcPr>
            <w:tcW w:w="886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C01A" w14:textId="77777777" w:rsidR="00B52B61" w:rsidRPr="00104988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Excluding U3</w:t>
            </w:r>
          </w:p>
        </w:tc>
      </w:tr>
      <w:tr w:rsidR="00B52B61" w:rsidRPr="00104988" w14:paraId="409FCE9C" w14:textId="77777777" w:rsidTr="002073D0">
        <w:trPr>
          <w:trHeight w:val="419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0967" w14:textId="77777777" w:rsidR="00B52B61" w:rsidRPr="00104988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Malignant</w:t>
            </w:r>
          </w:p>
        </w:tc>
        <w:tc>
          <w:tcPr>
            <w:tcW w:w="15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90CE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0740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08F9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39C8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0.90</w:t>
            </w:r>
          </w:p>
          <w:p w14:paraId="56719B46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(0.84, 0.95)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C2AA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0.83</w:t>
            </w:r>
          </w:p>
          <w:p w14:paraId="515EE5B9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(0.77, 0.90)</w:t>
            </w:r>
          </w:p>
        </w:tc>
      </w:tr>
      <w:tr w:rsidR="00B52B61" w:rsidRPr="00104988" w14:paraId="3E30146B" w14:textId="77777777" w:rsidTr="002073D0">
        <w:trPr>
          <w:trHeight w:val="343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1FCC" w14:textId="77777777" w:rsidR="00B52B61" w:rsidRPr="00104988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Benign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A8E1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9C6C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CF85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1B81DEC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F60C344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104988" w14:paraId="0A177746" w14:textId="77777777" w:rsidTr="002073D0">
        <w:trPr>
          <w:trHeight w:val="352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2B81" w14:textId="77777777" w:rsidR="00B52B61" w:rsidRPr="00104988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DD82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C8C5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3A35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97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DAD8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p=0.1</w:t>
            </w:r>
          </w:p>
        </w:tc>
      </w:tr>
      <w:tr w:rsidR="00B52B61" w:rsidRPr="00104988" w14:paraId="6D39E6FC" w14:textId="77777777" w:rsidTr="002073D0">
        <w:trPr>
          <w:trHeight w:val="402"/>
        </w:trPr>
        <w:tc>
          <w:tcPr>
            <w:tcW w:w="886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73FF" w14:textId="77777777" w:rsidR="00B52B61" w:rsidRPr="00104988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Excluding U3 &amp; Thy 3a</w:t>
            </w:r>
          </w:p>
        </w:tc>
      </w:tr>
      <w:tr w:rsidR="00B52B61" w:rsidRPr="00104988" w14:paraId="21B408E1" w14:textId="77777777" w:rsidTr="002073D0">
        <w:trPr>
          <w:trHeight w:val="354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3A38" w14:textId="77777777" w:rsidR="00B52B61" w:rsidRPr="00104988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lastRenderedPageBreak/>
              <w:t>US-alone Malignant</w:t>
            </w:r>
          </w:p>
        </w:tc>
        <w:tc>
          <w:tcPr>
            <w:tcW w:w="15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6D1C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7AD4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DE92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72C8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0.92</w:t>
            </w:r>
          </w:p>
          <w:p w14:paraId="0C566AA8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(0.87, 0.97)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5637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0.91</w:t>
            </w:r>
          </w:p>
          <w:p w14:paraId="27667C1C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(0.86, 0.96)</w:t>
            </w:r>
          </w:p>
        </w:tc>
      </w:tr>
      <w:tr w:rsidR="00B52B61" w:rsidRPr="00104988" w14:paraId="7340A02F" w14:textId="77777777" w:rsidTr="002073D0">
        <w:trPr>
          <w:trHeight w:val="307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56E3" w14:textId="77777777" w:rsidR="00B52B61" w:rsidRPr="00104988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Benign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1051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C2B4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2D9D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71198AE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91B3158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104988" w14:paraId="31C4D93B" w14:textId="77777777" w:rsidTr="002073D0">
        <w:trPr>
          <w:trHeight w:val="304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1327" w14:textId="77777777" w:rsidR="00B52B61" w:rsidRPr="00104988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7E2E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A1B3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1497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97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A00D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p=0.8</w:t>
            </w:r>
          </w:p>
        </w:tc>
      </w:tr>
      <w:tr w:rsidR="00B52B61" w:rsidRPr="00104988" w14:paraId="7891E224" w14:textId="77777777" w:rsidTr="002073D0">
        <w:trPr>
          <w:trHeight w:val="450"/>
        </w:trPr>
        <w:tc>
          <w:tcPr>
            <w:tcW w:w="886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8359" w14:textId="77777777" w:rsidR="00B52B61" w:rsidRPr="00104988" w:rsidRDefault="00B52B61" w:rsidP="002073D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Excluding U3/Th3, Thy3f, Thy 3a</w:t>
            </w:r>
          </w:p>
        </w:tc>
      </w:tr>
      <w:tr w:rsidR="00B52B61" w:rsidRPr="00104988" w14:paraId="37A624B0" w14:textId="77777777" w:rsidTr="002073D0">
        <w:trPr>
          <w:trHeight w:val="402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861A" w14:textId="77777777" w:rsidR="00B52B61" w:rsidRPr="00104988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Malignant</w:t>
            </w:r>
          </w:p>
        </w:tc>
        <w:tc>
          <w:tcPr>
            <w:tcW w:w="15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5336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0832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4E3E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5F89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0.92</w:t>
            </w:r>
          </w:p>
          <w:p w14:paraId="103201C3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(0.86, 0.97)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3F93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0.99</w:t>
            </w:r>
          </w:p>
          <w:p w14:paraId="11E5CAEA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(0.95, 1.00)</w:t>
            </w:r>
          </w:p>
        </w:tc>
      </w:tr>
      <w:tr w:rsidR="00B52B61" w:rsidRPr="00104988" w14:paraId="392FD4C2" w14:textId="77777777" w:rsidTr="002073D0">
        <w:trPr>
          <w:trHeight w:val="351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37D2" w14:textId="77777777" w:rsidR="00B52B61" w:rsidRPr="00104988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US-alone Benign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62DB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573A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4D05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6BA9E2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06120B0" w14:textId="77777777" w:rsidR="00B52B61" w:rsidRPr="00104988" w:rsidRDefault="00B52B61" w:rsidP="00207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104988" w14:paraId="2AFE52BD" w14:textId="77777777" w:rsidTr="002073D0">
        <w:trPr>
          <w:trHeight w:val="348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E1A0" w14:textId="77777777" w:rsidR="00B52B61" w:rsidRPr="00104988" w:rsidRDefault="00B52B61" w:rsidP="002073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BE73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F70D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8D2F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97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0748" w14:textId="77777777" w:rsidR="00B52B61" w:rsidRPr="00104988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988">
              <w:rPr>
                <w:rFonts w:ascii="Times New Roman" w:eastAsia="Tahoma" w:hAnsi="Times New Roman" w:cs="Times New Roman"/>
                <w:sz w:val="16"/>
                <w:szCs w:val="16"/>
              </w:rPr>
              <w:t>p=0.05</w:t>
            </w:r>
          </w:p>
        </w:tc>
      </w:tr>
    </w:tbl>
    <w:p w14:paraId="79B8E09E" w14:textId="77777777" w:rsidR="00B52B61" w:rsidRDefault="00B52B61" w:rsidP="00B52B61">
      <w:pPr>
        <w:spacing w:before="40" w:line="254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8E03EF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39CF74" w14:textId="77777777" w:rsidR="00B52B61" w:rsidRPr="00FB433B" w:rsidRDefault="00B52B61" w:rsidP="00B52B61">
      <w:pPr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33B">
        <w:rPr>
          <w:rFonts w:ascii="Times New Roman" w:eastAsia="Times New Roman" w:hAnsi="Times New Roman" w:cs="Times New Roman"/>
          <w:b/>
          <w:bCs/>
          <w:sz w:val="20"/>
          <w:szCs w:val="20"/>
        </w:rPr>
        <w:t>Table 8:</w:t>
      </w:r>
      <w:r w:rsidRPr="00FB43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33B">
        <w:rPr>
          <w:rFonts w:ascii="Times New Roman" w:eastAsia="Times New Roman" w:hAnsi="Times New Roman" w:cs="Times New Roman"/>
          <w:b/>
          <w:bCs/>
          <w:sz w:val="20"/>
          <w:szCs w:val="20"/>
        </w:rPr>
        <w:t>Complication Rates from Thyroidectomy at 30 days and 6 months post-surgery</w:t>
      </w:r>
    </w:p>
    <w:p w14:paraId="1FD850A3" w14:textId="77777777" w:rsidR="00B52B61" w:rsidRDefault="00B52B61" w:rsidP="00B52B61">
      <w:pPr>
        <w:spacing w:line="276" w:lineRule="auto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673"/>
        <w:gridCol w:w="1337"/>
        <w:gridCol w:w="1782"/>
      </w:tblGrid>
      <w:tr w:rsidR="00B52B61" w:rsidRPr="00B447E7" w14:paraId="1D192E2D" w14:textId="77777777" w:rsidTr="002073D0">
        <w:trPr>
          <w:trHeight w:val="494"/>
        </w:trPr>
        <w:tc>
          <w:tcPr>
            <w:tcW w:w="4673" w:type="dxa"/>
          </w:tcPr>
          <w:p w14:paraId="489A393B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</w:tcPr>
          <w:p w14:paraId="5F92793A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</w:tcPr>
          <w:p w14:paraId="11419C63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Surgery</w:t>
            </w:r>
          </w:p>
        </w:tc>
      </w:tr>
      <w:tr w:rsidR="00B52B61" w:rsidRPr="00B447E7" w14:paraId="0217CC2A" w14:textId="77777777" w:rsidTr="002073D0">
        <w:trPr>
          <w:trHeight w:val="416"/>
        </w:trPr>
        <w:tc>
          <w:tcPr>
            <w:tcW w:w="4673" w:type="dxa"/>
          </w:tcPr>
          <w:p w14:paraId="6A0D2E4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7" w:type="dxa"/>
          </w:tcPr>
          <w:p w14:paraId="16B4D03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</w:tcPr>
          <w:p w14:paraId="31A42B2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N=379</w:t>
            </w:r>
          </w:p>
        </w:tc>
      </w:tr>
      <w:tr w:rsidR="00B52B61" w:rsidRPr="00B447E7" w14:paraId="650F0023" w14:textId="77777777" w:rsidTr="002073D0">
        <w:trPr>
          <w:trHeight w:val="428"/>
        </w:trPr>
        <w:tc>
          <w:tcPr>
            <w:tcW w:w="6010" w:type="dxa"/>
            <w:gridSpan w:val="2"/>
          </w:tcPr>
          <w:p w14:paraId="660010B1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day and/or </w:t>
            </w:r>
            <w:proofErr w:type="gramStart"/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6 month</w:t>
            </w:r>
            <w:proofErr w:type="gramEnd"/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post-operative form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2B8D414D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61" w:rsidRPr="00B447E7" w14:paraId="71401630" w14:textId="77777777" w:rsidTr="002073D0">
        <w:tc>
          <w:tcPr>
            <w:tcW w:w="4673" w:type="dxa"/>
            <w:vMerge w:val="restart"/>
          </w:tcPr>
          <w:p w14:paraId="0B851E67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Bleeding requiring return to theatre</w:t>
            </w:r>
          </w:p>
        </w:tc>
        <w:tc>
          <w:tcPr>
            <w:tcW w:w="1337" w:type="dxa"/>
            <w:tcBorders>
              <w:bottom w:val="nil"/>
              <w:right w:val="single" w:sz="4" w:space="0" w:color="auto"/>
            </w:tcBorders>
          </w:tcPr>
          <w:p w14:paraId="0CEC072C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82" w:type="dxa"/>
            <w:tcBorders>
              <w:left w:val="single" w:sz="4" w:space="0" w:color="auto"/>
              <w:bottom w:val="nil"/>
            </w:tcBorders>
          </w:tcPr>
          <w:p w14:paraId="55DBEDD6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(0.6%)</w:t>
            </w:r>
          </w:p>
        </w:tc>
      </w:tr>
      <w:tr w:rsidR="00B52B61" w:rsidRPr="00B447E7" w14:paraId="307C1CF3" w14:textId="77777777" w:rsidTr="002073D0">
        <w:tc>
          <w:tcPr>
            <w:tcW w:w="4673" w:type="dxa"/>
            <w:vMerge/>
          </w:tcPr>
          <w:p w14:paraId="42A01B69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</w:tcPr>
          <w:p w14:paraId="13485B3F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</w:tcBorders>
          </w:tcPr>
          <w:p w14:paraId="59E13A08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315 (99.4%)</w:t>
            </w:r>
          </w:p>
        </w:tc>
      </w:tr>
      <w:tr w:rsidR="00B52B61" w:rsidRPr="00B447E7" w14:paraId="265410C7" w14:textId="77777777" w:rsidTr="002073D0">
        <w:trPr>
          <w:trHeight w:val="292"/>
        </w:trPr>
        <w:tc>
          <w:tcPr>
            <w:tcW w:w="4673" w:type="dxa"/>
            <w:vMerge/>
          </w:tcPr>
          <w:p w14:paraId="246F5A2A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E2C676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B447E7">
              <w:rPr>
                <w:rFonts w:ascii="Times New Roman" w:hAnsi="Times New Roman" w:cs="Times New Roman"/>
                <w:i/>
                <w:sz w:val="16"/>
                <w:szCs w:val="16"/>
              </w:rPr>
              <w:t>issing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48877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62 </w:t>
            </w:r>
          </w:p>
        </w:tc>
      </w:tr>
      <w:tr w:rsidR="00B52B61" w:rsidRPr="00B447E7" w14:paraId="2EBCCE67" w14:textId="77777777" w:rsidTr="002073D0">
        <w:tc>
          <w:tcPr>
            <w:tcW w:w="4673" w:type="dxa"/>
            <w:vMerge w:val="restart"/>
          </w:tcPr>
          <w:p w14:paraId="02146A1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Haematoma not requiring evacuation</w:t>
            </w:r>
          </w:p>
        </w:tc>
        <w:tc>
          <w:tcPr>
            <w:tcW w:w="1337" w:type="dxa"/>
            <w:tcBorders>
              <w:bottom w:val="nil"/>
              <w:right w:val="single" w:sz="4" w:space="0" w:color="auto"/>
            </w:tcBorders>
          </w:tcPr>
          <w:p w14:paraId="64363530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82" w:type="dxa"/>
            <w:tcBorders>
              <w:left w:val="single" w:sz="4" w:space="0" w:color="auto"/>
              <w:bottom w:val="nil"/>
            </w:tcBorders>
          </w:tcPr>
          <w:p w14:paraId="0EA36DED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 (0.3%)</w:t>
            </w:r>
          </w:p>
        </w:tc>
      </w:tr>
      <w:tr w:rsidR="00B52B61" w:rsidRPr="00B447E7" w14:paraId="240D5616" w14:textId="77777777" w:rsidTr="002073D0">
        <w:tc>
          <w:tcPr>
            <w:tcW w:w="4673" w:type="dxa"/>
            <w:vMerge/>
          </w:tcPr>
          <w:p w14:paraId="1C470CD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</w:tcPr>
          <w:p w14:paraId="6CC3D876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</w:tcBorders>
          </w:tcPr>
          <w:p w14:paraId="30541098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316 (99.7%)</w:t>
            </w:r>
          </w:p>
        </w:tc>
      </w:tr>
      <w:tr w:rsidR="00B52B61" w:rsidRPr="00B447E7" w14:paraId="36FBC81B" w14:textId="77777777" w:rsidTr="002073D0">
        <w:trPr>
          <w:trHeight w:val="316"/>
        </w:trPr>
        <w:tc>
          <w:tcPr>
            <w:tcW w:w="4673" w:type="dxa"/>
            <w:vMerge/>
          </w:tcPr>
          <w:p w14:paraId="2EAC4CAE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067C0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B447E7">
              <w:rPr>
                <w:rFonts w:ascii="Times New Roman" w:hAnsi="Times New Roman" w:cs="Times New Roman"/>
                <w:i/>
                <w:sz w:val="16"/>
                <w:szCs w:val="16"/>
              </w:rPr>
              <w:t>issing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D05FE6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62 </w:t>
            </w:r>
          </w:p>
        </w:tc>
      </w:tr>
      <w:tr w:rsidR="00B52B61" w:rsidRPr="00B447E7" w14:paraId="4E7A3F82" w14:textId="77777777" w:rsidTr="002073D0">
        <w:tc>
          <w:tcPr>
            <w:tcW w:w="4673" w:type="dxa"/>
            <w:vMerge w:val="restart"/>
          </w:tcPr>
          <w:p w14:paraId="74388D92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Wound infection</w:t>
            </w:r>
          </w:p>
        </w:tc>
        <w:tc>
          <w:tcPr>
            <w:tcW w:w="1337" w:type="dxa"/>
            <w:tcBorders>
              <w:bottom w:val="nil"/>
              <w:right w:val="single" w:sz="4" w:space="0" w:color="auto"/>
            </w:tcBorders>
          </w:tcPr>
          <w:p w14:paraId="389C0B1B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82" w:type="dxa"/>
            <w:tcBorders>
              <w:left w:val="single" w:sz="4" w:space="0" w:color="auto"/>
              <w:bottom w:val="nil"/>
            </w:tcBorders>
          </w:tcPr>
          <w:p w14:paraId="5562E865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8 (2.5%)</w:t>
            </w:r>
          </w:p>
        </w:tc>
      </w:tr>
      <w:tr w:rsidR="00B52B61" w:rsidRPr="00B447E7" w14:paraId="3CA09C02" w14:textId="77777777" w:rsidTr="002073D0">
        <w:tc>
          <w:tcPr>
            <w:tcW w:w="4673" w:type="dxa"/>
            <w:vMerge/>
          </w:tcPr>
          <w:p w14:paraId="42E34FBE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</w:tcPr>
          <w:p w14:paraId="25770CFC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</w:tcBorders>
          </w:tcPr>
          <w:p w14:paraId="6339D4AB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309 (97.5%)</w:t>
            </w:r>
          </w:p>
        </w:tc>
      </w:tr>
      <w:tr w:rsidR="00B52B61" w:rsidRPr="00B447E7" w14:paraId="5DC03951" w14:textId="77777777" w:rsidTr="002073D0">
        <w:trPr>
          <w:trHeight w:val="313"/>
        </w:trPr>
        <w:tc>
          <w:tcPr>
            <w:tcW w:w="4673" w:type="dxa"/>
            <w:vMerge/>
          </w:tcPr>
          <w:p w14:paraId="788DC42D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right w:val="single" w:sz="4" w:space="0" w:color="auto"/>
            </w:tcBorders>
          </w:tcPr>
          <w:p w14:paraId="71ABEF2D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B447E7">
              <w:rPr>
                <w:rFonts w:ascii="Times New Roman" w:hAnsi="Times New Roman" w:cs="Times New Roman"/>
                <w:i/>
                <w:sz w:val="16"/>
                <w:szCs w:val="16"/>
              </w:rPr>
              <w:t>issing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</w:tcBorders>
          </w:tcPr>
          <w:p w14:paraId="6C0382DD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62 </w:t>
            </w:r>
          </w:p>
        </w:tc>
      </w:tr>
      <w:tr w:rsidR="00B52B61" w:rsidRPr="00B447E7" w14:paraId="52052E73" w14:textId="77777777" w:rsidTr="002073D0">
        <w:tc>
          <w:tcPr>
            <w:tcW w:w="4673" w:type="dxa"/>
            <w:vMerge w:val="restart"/>
          </w:tcPr>
          <w:p w14:paraId="3263BAF5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Hypocalcaemia requiring replacement</w:t>
            </w:r>
          </w:p>
        </w:tc>
        <w:tc>
          <w:tcPr>
            <w:tcW w:w="1337" w:type="dxa"/>
            <w:tcBorders>
              <w:bottom w:val="nil"/>
              <w:right w:val="single" w:sz="4" w:space="0" w:color="auto"/>
            </w:tcBorders>
          </w:tcPr>
          <w:p w14:paraId="37081D60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82" w:type="dxa"/>
            <w:tcBorders>
              <w:left w:val="single" w:sz="4" w:space="0" w:color="auto"/>
              <w:bottom w:val="nil"/>
            </w:tcBorders>
          </w:tcPr>
          <w:p w14:paraId="4D5BB395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15 (4.5%)</w:t>
            </w:r>
          </w:p>
        </w:tc>
      </w:tr>
      <w:tr w:rsidR="00B52B61" w:rsidRPr="00B447E7" w14:paraId="493B2423" w14:textId="77777777" w:rsidTr="002073D0">
        <w:tc>
          <w:tcPr>
            <w:tcW w:w="4673" w:type="dxa"/>
            <w:vMerge/>
          </w:tcPr>
          <w:p w14:paraId="2BD3CB05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</w:tcPr>
          <w:p w14:paraId="77203F1A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</w:tcBorders>
          </w:tcPr>
          <w:p w14:paraId="2B21C2CE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317 (95.5%)</w:t>
            </w:r>
          </w:p>
        </w:tc>
      </w:tr>
      <w:tr w:rsidR="00B52B61" w:rsidRPr="00B447E7" w14:paraId="194BF339" w14:textId="77777777" w:rsidTr="002073D0">
        <w:trPr>
          <w:trHeight w:val="308"/>
        </w:trPr>
        <w:tc>
          <w:tcPr>
            <w:tcW w:w="4673" w:type="dxa"/>
            <w:vMerge/>
          </w:tcPr>
          <w:p w14:paraId="7CE6419B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6FD0EB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B447E7">
              <w:rPr>
                <w:rFonts w:ascii="Times New Roman" w:hAnsi="Times New Roman" w:cs="Times New Roman"/>
                <w:i/>
                <w:sz w:val="16"/>
                <w:szCs w:val="16"/>
              </w:rPr>
              <w:t>issing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AE99B7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47 </w:t>
            </w:r>
          </w:p>
        </w:tc>
      </w:tr>
      <w:tr w:rsidR="00B52B61" w:rsidRPr="00B447E7" w14:paraId="522CB95A" w14:textId="77777777" w:rsidTr="002073D0">
        <w:tc>
          <w:tcPr>
            <w:tcW w:w="4673" w:type="dxa"/>
            <w:vMerge w:val="restart"/>
          </w:tcPr>
          <w:p w14:paraId="11BEA136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Vocal cord palsy*</w:t>
            </w:r>
          </w:p>
        </w:tc>
        <w:tc>
          <w:tcPr>
            <w:tcW w:w="1337" w:type="dxa"/>
            <w:tcBorders>
              <w:bottom w:val="nil"/>
              <w:right w:val="single" w:sz="4" w:space="0" w:color="auto"/>
            </w:tcBorders>
          </w:tcPr>
          <w:p w14:paraId="593B3D61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82" w:type="dxa"/>
            <w:tcBorders>
              <w:left w:val="single" w:sz="4" w:space="0" w:color="auto"/>
              <w:bottom w:val="nil"/>
            </w:tcBorders>
          </w:tcPr>
          <w:p w14:paraId="50AE84E2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 (0.7%)</w:t>
            </w:r>
          </w:p>
        </w:tc>
      </w:tr>
      <w:tr w:rsidR="00B52B61" w:rsidRPr="00B447E7" w14:paraId="61113C93" w14:textId="77777777" w:rsidTr="002073D0">
        <w:tc>
          <w:tcPr>
            <w:tcW w:w="4673" w:type="dxa"/>
            <w:vMerge/>
          </w:tcPr>
          <w:p w14:paraId="18CF9713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</w:tcPr>
          <w:p w14:paraId="6EE38486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</w:tcBorders>
          </w:tcPr>
          <w:p w14:paraId="295FF39B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295 (99.3%)</w:t>
            </w:r>
          </w:p>
        </w:tc>
      </w:tr>
      <w:tr w:rsidR="00B52B61" w:rsidRPr="00B447E7" w14:paraId="5297A40A" w14:textId="77777777" w:rsidTr="002073D0">
        <w:trPr>
          <w:trHeight w:val="304"/>
        </w:trPr>
        <w:tc>
          <w:tcPr>
            <w:tcW w:w="4673" w:type="dxa"/>
            <w:vMerge/>
          </w:tcPr>
          <w:p w14:paraId="6D4DC73D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right w:val="single" w:sz="4" w:space="0" w:color="auto"/>
            </w:tcBorders>
          </w:tcPr>
          <w:p w14:paraId="5BE16851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B447E7">
              <w:rPr>
                <w:rFonts w:ascii="Times New Roman" w:hAnsi="Times New Roman" w:cs="Times New Roman"/>
                <w:i/>
                <w:sz w:val="16"/>
                <w:szCs w:val="16"/>
              </w:rPr>
              <w:t>issing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</w:tcBorders>
          </w:tcPr>
          <w:p w14:paraId="716BE0B0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82 </w:t>
            </w:r>
          </w:p>
        </w:tc>
      </w:tr>
      <w:tr w:rsidR="00B52B61" w:rsidRPr="00B447E7" w14:paraId="5D6B2CB7" w14:textId="77777777" w:rsidTr="002073D0">
        <w:tc>
          <w:tcPr>
            <w:tcW w:w="4673" w:type="dxa"/>
            <w:vMerge w:val="restart"/>
          </w:tcPr>
          <w:p w14:paraId="1E7D0740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Keloid scarring*</w:t>
            </w:r>
          </w:p>
        </w:tc>
        <w:tc>
          <w:tcPr>
            <w:tcW w:w="1337" w:type="dxa"/>
            <w:tcBorders>
              <w:bottom w:val="nil"/>
              <w:right w:val="single" w:sz="4" w:space="0" w:color="auto"/>
            </w:tcBorders>
          </w:tcPr>
          <w:p w14:paraId="3D8BE02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82" w:type="dxa"/>
            <w:tcBorders>
              <w:left w:val="single" w:sz="4" w:space="0" w:color="auto"/>
              <w:bottom w:val="nil"/>
            </w:tcBorders>
          </w:tcPr>
          <w:p w14:paraId="3A22A04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 (0.3%)</w:t>
            </w:r>
          </w:p>
        </w:tc>
      </w:tr>
      <w:tr w:rsidR="00B52B61" w:rsidRPr="00B447E7" w14:paraId="620E1C9E" w14:textId="77777777" w:rsidTr="002073D0">
        <w:tc>
          <w:tcPr>
            <w:tcW w:w="4673" w:type="dxa"/>
            <w:vMerge/>
          </w:tcPr>
          <w:p w14:paraId="739F446A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</w:tcPr>
          <w:p w14:paraId="401091D7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</w:tcBorders>
          </w:tcPr>
          <w:p w14:paraId="56B7BE58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294 (99.7%)</w:t>
            </w:r>
          </w:p>
        </w:tc>
      </w:tr>
      <w:tr w:rsidR="00B52B61" w:rsidRPr="00B447E7" w14:paraId="0CFB5BCC" w14:textId="77777777" w:rsidTr="002073D0">
        <w:trPr>
          <w:trHeight w:val="314"/>
        </w:trPr>
        <w:tc>
          <w:tcPr>
            <w:tcW w:w="4673" w:type="dxa"/>
            <w:vMerge/>
          </w:tcPr>
          <w:p w14:paraId="526CD3C1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right w:val="single" w:sz="4" w:space="0" w:color="auto"/>
            </w:tcBorders>
          </w:tcPr>
          <w:p w14:paraId="340484B5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B447E7">
              <w:rPr>
                <w:rFonts w:ascii="Times New Roman" w:hAnsi="Times New Roman" w:cs="Times New Roman"/>
                <w:i/>
                <w:sz w:val="16"/>
                <w:szCs w:val="16"/>
              </w:rPr>
              <w:t>issing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</w:tcBorders>
          </w:tcPr>
          <w:p w14:paraId="2C63D551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82 </w:t>
            </w:r>
          </w:p>
        </w:tc>
      </w:tr>
      <w:tr w:rsidR="00B52B61" w:rsidRPr="00B447E7" w14:paraId="4C3DDD09" w14:textId="77777777" w:rsidTr="002073D0">
        <w:tc>
          <w:tcPr>
            <w:tcW w:w="4673" w:type="dxa"/>
            <w:vMerge w:val="restart"/>
          </w:tcPr>
          <w:p w14:paraId="21FD4CA5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Death</w:t>
            </w:r>
          </w:p>
        </w:tc>
        <w:tc>
          <w:tcPr>
            <w:tcW w:w="1337" w:type="dxa"/>
            <w:tcBorders>
              <w:bottom w:val="nil"/>
            </w:tcBorders>
          </w:tcPr>
          <w:p w14:paraId="0D721DE0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82" w:type="dxa"/>
            <w:tcBorders>
              <w:bottom w:val="nil"/>
            </w:tcBorders>
          </w:tcPr>
          <w:p w14:paraId="6DF0DC3C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447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(0.6%)</w:t>
            </w:r>
          </w:p>
        </w:tc>
      </w:tr>
      <w:tr w:rsidR="00B52B61" w:rsidRPr="00B447E7" w14:paraId="13F32E16" w14:textId="77777777" w:rsidTr="002073D0">
        <w:tc>
          <w:tcPr>
            <w:tcW w:w="4673" w:type="dxa"/>
            <w:vMerge/>
          </w:tcPr>
          <w:p w14:paraId="7C558A31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8A37787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14:paraId="322D6E7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330 (99.4%)</w:t>
            </w:r>
          </w:p>
        </w:tc>
      </w:tr>
      <w:tr w:rsidR="00B52B61" w:rsidRPr="00B447E7" w14:paraId="2F333A4D" w14:textId="77777777" w:rsidTr="002073D0">
        <w:trPr>
          <w:trHeight w:val="325"/>
        </w:trPr>
        <w:tc>
          <w:tcPr>
            <w:tcW w:w="4673" w:type="dxa"/>
            <w:vMerge/>
          </w:tcPr>
          <w:p w14:paraId="733BC294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56A497A2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B447E7">
              <w:rPr>
                <w:rFonts w:ascii="Times New Roman" w:hAnsi="Times New Roman" w:cs="Times New Roman"/>
                <w:i/>
                <w:sz w:val="16"/>
                <w:szCs w:val="16"/>
              </w:rPr>
              <w:t>issing</w:t>
            </w:r>
          </w:p>
        </w:tc>
        <w:tc>
          <w:tcPr>
            <w:tcW w:w="1782" w:type="dxa"/>
            <w:tcBorders>
              <w:top w:val="nil"/>
            </w:tcBorders>
          </w:tcPr>
          <w:p w14:paraId="035A030A" w14:textId="77777777" w:rsidR="00B52B61" w:rsidRPr="00B447E7" w:rsidRDefault="00B52B61" w:rsidP="002073D0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47 </w:t>
            </w:r>
          </w:p>
        </w:tc>
      </w:tr>
    </w:tbl>
    <w:p w14:paraId="5B506121" w14:textId="77777777" w:rsidR="00B52B61" w:rsidRDefault="00B52B61" w:rsidP="00B52B6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5AB21EE" w14:textId="77777777" w:rsidR="00B52B61" w:rsidRPr="00B447E7" w:rsidRDefault="00B52B61" w:rsidP="00B52B6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447E7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B447E7">
        <w:rPr>
          <w:rFonts w:ascii="Times New Roman" w:hAnsi="Times New Roman" w:cs="Times New Roman"/>
          <w:sz w:val="16"/>
          <w:szCs w:val="16"/>
        </w:rPr>
        <w:t>nly reported on 6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B447E7">
        <w:rPr>
          <w:rFonts w:ascii="Times New Roman" w:hAnsi="Times New Roman" w:cs="Times New Roman"/>
          <w:sz w:val="16"/>
          <w:szCs w:val="16"/>
        </w:rPr>
        <w:t>month post-operative form</w:t>
      </w:r>
    </w:p>
    <w:p w14:paraId="0141735E" w14:textId="77777777" w:rsidR="00B52B61" w:rsidRDefault="00B52B61" w:rsidP="00B52B6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46F390B3" w14:textId="77777777" w:rsidR="00B52B61" w:rsidRPr="00B447E7" w:rsidRDefault="00B52B61" w:rsidP="00B52B6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447E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B447E7">
        <w:rPr>
          <w:rFonts w:ascii="Times New Roman" w:hAnsi="Times New Roman" w:cs="Times New Roman"/>
          <w:sz w:val="16"/>
          <w:szCs w:val="16"/>
        </w:rPr>
        <w:t>Incorrectly reported as surgical complications. One participant died due to cancer; and one participant died due to a bowel obstruction</w:t>
      </w:r>
    </w:p>
    <w:p w14:paraId="0902FBAC" w14:textId="77777777" w:rsidR="00B52B61" w:rsidRDefault="00B52B61" w:rsidP="00B52B61">
      <w:pPr>
        <w:spacing w:line="276" w:lineRule="auto"/>
      </w:pPr>
    </w:p>
    <w:p w14:paraId="527DAFDA" w14:textId="77777777" w:rsidR="00B52B61" w:rsidRDefault="00B52B61" w:rsidP="00B52B61">
      <w:r>
        <w:br/>
      </w:r>
    </w:p>
    <w:p w14:paraId="3AD02B24" w14:textId="77777777" w:rsidR="00B52B61" w:rsidRDefault="00B52B61" w:rsidP="00B52B61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13E1F6" w14:textId="77777777" w:rsidR="00B52B61" w:rsidRDefault="00B52B61" w:rsidP="00B52B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14:paraId="18D08B10" w14:textId="77777777" w:rsidR="00B52B61" w:rsidRDefault="00B52B61" w:rsidP="00B52B61">
      <w:pPr>
        <w:spacing w:line="257" w:lineRule="auto"/>
      </w:pPr>
    </w:p>
    <w:p w14:paraId="13739F7C" w14:textId="77777777" w:rsidR="00B52B61" w:rsidRPr="006764DE" w:rsidRDefault="00B52B61" w:rsidP="00B52B61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4DE">
        <w:rPr>
          <w:rFonts w:ascii="Times New Roman" w:hAnsi="Times New Roman" w:cs="Times New Roman"/>
          <w:b/>
          <w:bCs/>
          <w:sz w:val="20"/>
          <w:szCs w:val="20"/>
        </w:rPr>
        <w:t xml:space="preserve">Appendix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764DE">
        <w:rPr>
          <w:rFonts w:ascii="Times New Roman" w:hAnsi="Times New Roman" w:cs="Times New Roman"/>
          <w:b/>
          <w:bCs/>
          <w:sz w:val="20"/>
          <w:szCs w:val="20"/>
        </w:rPr>
        <w:t>: List of participant centres, Principal Investigators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764DE">
        <w:rPr>
          <w:rFonts w:ascii="Times New Roman" w:hAnsi="Times New Roman" w:cs="Times New Roman"/>
          <w:b/>
          <w:bCs/>
          <w:sz w:val="20"/>
          <w:szCs w:val="20"/>
        </w:rPr>
        <w:t xml:space="preserve"> and ElaTION 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6764DE">
        <w:rPr>
          <w:rFonts w:ascii="Times New Roman" w:hAnsi="Times New Roman" w:cs="Times New Roman"/>
          <w:b/>
          <w:bCs/>
          <w:sz w:val="20"/>
          <w:szCs w:val="20"/>
        </w:rPr>
        <w:t>adiologists</w:t>
      </w:r>
    </w:p>
    <w:p w14:paraId="55BA1423" w14:textId="77777777" w:rsidR="00B52B61" w:rsidRPr="00B447E7" w:rsidRDefault="00B52B61" w:rsidP="00B52B61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3033"/>
        <w:gridCol w:w="1783"/>
        <w:gridCol w:w="3316"/>
      </w:tblGrid>
      <w:tr w:rsidR="00B52B61" w:rsidRPr="00B447E7" w14:paraId="3C13164D" w14:textId="77777777" w:rsidTr="002073D0">
        <w:trPr>
          <w:trHeight w:val="825"/>
        </w:trPr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767A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Hospital</w:t>
            </w:r>
          </w:p>
        </w:tc>
        <w:tc>
          <w:tcPr>
            <w:tcW w:w="3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1883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NHS Trust</w:t>
            </w:r>
          </w:p>
        </w:tc>
        <w:tc>
          <w:tcPr>
            <w:tcW w:w="1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2C8A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Principal Investigator</w:t>
            </w:r>
          </w:p>
        </w:tc>
        <w:tc>
          <w:tcPr>
            <w:tcW w:w="3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6088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b/>
                <w:sz w:val="16"/>
                <w:szCs w:val="16"/>
              </w:rPr>
              <w:t>Radiologist/s*</w:t>
            </w:r>
          </w:p>
        </w:tc>
      </w:tr>
      <w:tr w:rsidR="00B52B61" w:rsidRPr="00B447E7" w14:paraId="5C833294" w14:textId="77777777" w:rsidTr="002073D0">
        <w:trPr>
          <w:trHeight w:val="598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5A18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Lister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278E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East and North Herts NHS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4E72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Mr George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Mochloulis</w:t>
            </w:r>
            <w:proofErr w:type="spellEnd"/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5FC8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Dr Kanchana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Rajaguru</w:t>
            </w:r>
            <w:proofErr w:type="spellEnd"/>
          </w:p>
        </w:tc>
      </w:tr>
      <w:tr w:rsidR="00B52B61" w:rsidRPr="00B447E7" w14:paraId="72A83C0F" w14:textId="77777777" w:rsidTr="002073D0">
        <w:trPr>
          <w:trHeight w:val="780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3713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Charing Cross Hospital</w:t>
            </w:r>
          </w:p>
          <w:p w14:paraId="77A5AF89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Hammersmith Hospital</w:t>
            </w:r>
          </w:p>
          <w:p w14:paraId="2A4C2098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St Mary's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2A94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Imperial College Healthcare NHS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54EC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Dr Gitta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Madani</w:t>
            </w:r>
            <w:proofErr w:type="spellEnd"/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9D73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Dr Gitta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Madani</w:t>
            </w:r>
            <w:proofErr w:type="spellEnd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; Dr Kunwar Bhatia</w:t>
            </w:r>
          </w:p>
        </w:tc>
      </w:tr>
      <w:tr w:rsidR="00B52B61" w:rsidRPr="00B447E7" w14:paraId="0F295BB7" w14:textId="77777777" w:rsidTr="002073D0">
        <w:trPr>
          <w:trHeight w:val="753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123F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Kings College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CC09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King's College Hospital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443F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Prof Paul Sidhu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E998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Prof Paul Sidhu; Dr Annamaria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Deganello</w:t>
            </w:r>
            <w:proofErr w:type="spellEnd"/>
          </w:p>
        </w:tc>
      </w:tr>
      <w:tr w:rsidR="00B52B61" w:rsidRPr="00B447E7" w14:paraId="5EA85CDA" w14:textId="77777777" w:rsidTr="002073D0">
        <w:trPr>
          <w:trHeight w:val="780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039BF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Queen Alexandra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2C0E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Portsmouth Hospitals NHS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DC7F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Jasper Bekker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AB95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Dr Jasper Bekker; Dr Janine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Domjan</w:t>
            </w:r>
            <w:proofErr w:type="spellEnd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; Dr Daren Gibson; Dr Chris Bowles</w:t>
            </w:r>
          </w:p>
        </w:tc>
      </w:tr>
      <w:tr w:rsidR="00B52B61" w:rsidRPr="00B447E7" w14:paraId="4337370A" w14:textId="77777777" w:rsidTr="002073D0">
        <w:trPr>
          <w:trHeight w:val="780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FC58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Leicester Royal Infirmary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C46B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University Hospitals of Leicester NHS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E781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Ram Vaidhyanath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2743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Ram Vaidhyanath; Ms Amy Barnes</w:t>
            </w:r>
          </w:p>
        </w:tc>
      </w:tr>
      <w:tr w:rsidR="00B52B61" w:rsidRPr="00B447E7" w14:paraId="00E2AC31" w14:textId="77777777" w:rsidTr="002073D0">
        <w:trPr>
          <w:trHeight w:val="780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64A8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Basildon University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5BB2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Basildon and Thurrock University Hospitals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8D43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Thaj Rehman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15C3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Thaj Rehman</w:t>
            </w:r>
          </w:p>
        </w:tc>
      </w:tr>
      <w:tr w:rsidR="00B52B61" w:rsidRPr="00B447E7" w14:paraId="50B900E1" w14:textId="77777777" w:rsidTr="002073D0">
        <w:trPr>
          <w:trHeight w:val="767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78D2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University Hospital of North Tees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B96D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North Tees and Hartlepool Hospitals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56539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Arun Batra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1CF7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Arun Batra</w:t>
            </w:r>
          </w:p>
        </w:tc>
      </w:tr>
      <w:tr w:rsidR="00B52B61" w:rsidRPr="00B447E7" w14:paraId="4096B806" w14:textId="77777777" w:rsidTr="002073D0">
        <w:trPr>
          <w:trHeight w:val="780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86B6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North Manchester General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DF30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Pennine Acute Hospitals NHS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23EF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Mr Sharan Jayaram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4617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Niranjan Desai</w:t>
            </w:r>
          </w:p>
        </w:tc>
      </w:tr>
      <w:tr w:rsidR="00B52B61" w:rsidRPr="00B447E7" w14:paraId="147412A7" w14:textId="77777777" w:rsidTr="002073D0">
        <w:trPr>
          <w:trHeight w:val="825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8595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Northwick Park Hospital</w:t>
            </w:r>
          </w:p>
          <w:p w14:paraId="3AF7A94E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St Mark's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D8B2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London </w:t>
            </w:r>
            <w:proofErr w:type="gram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North West</w:t>
            </w:r>
            <w:proofErr w:type="gramEnd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University Healthcare NHS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09D1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Ravi Lingam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7901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Ravi Lingam</w:t>
            </w:r>
          </w:p>
        </w:tc>
      </w:tr>
      <w:tr w:rsidR="00B52B61" w:rsidRPr="00B447E7" w14:paraId="293F3707" w14:textId="77777777" w:rsidTr="002073D0">
        <w:trPr>
          <w:trHeight w:val="825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4ABD" w14:textId="77777777" w:rsidR="00B52B61" w:rsidRPr="00B447E7" w:rsidRDefault="00B52B61" w:rsidP="00207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Ashford Hospital</w:t>
            </w:r>
          </w:p>
          <w:p w14:paraId="40CC05BC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St Peter's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C54D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Ashford and St Peter's Hospitals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0A2B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Vineet Prakash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DC60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Vineet Prakash; Dr Oliver Wignall; Ms Gurjit Rai-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Tidbury</w:t>
            </w:r>
            <w:proofErr w:type="spellEnd"/>
          </w:p>
        </w:tc>
      </w:tr>
      <w:tr w:rsidR="00B52B61" w:rsidRPr="00B447E7" w14:paraId="0037783A" w14:textId="77777777" w:rsidTr="002073D0">
        <w:trPr>
          <w:trHeight w:val="682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CD99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Ipswich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606B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The Ipswich Hospitals NHS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A9D5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James Hathorn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3CBA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James Hathorn</w:t>
            </w:r>
          </w:p>
        </w:tc>
      </w:tr>
      <w:tr w:rsidR="00B52B61" w:rsidRPr="00B447E7" w14:paraId="09E16894" w14:textId="77777777" w:rsidTr="002073D0">
        <w:trPr>
          <w:trHeight w:val="780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F593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Queen Elizabeth Hospital Birmingham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048F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University Hospitals of Birmingham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C96D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Prof Hisham Mehanna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2E84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Steve Colley</w:t>
            </w:r>
          </w:p>
        </w:tc>
      </w:tr>
      <w:tr w:rsidR="00B52B61" w:rsidRPr="00B447E7" w14:paraId="0FE7DAFC" w14:textId="77777777" w:rsidTr="002073D0">
        <w:trPr>
          <w:trHeight w:val="825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BB73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Southend University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01C4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Southend University Hospital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B7FC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Mohammad Aslam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1B16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Mohammad Aslam</w:t>
            </w:r>
          </w:p>
        </w:tc>
      </w:tr>
      <w:tr w:rsidR="00B52B61" w:rsidRPr="00B447E7" w14:paraId="5ADBDF79" w14:textId="77777777" w:rsidTr="002073D0">
        <w:trPr>
          <w:trHeight w:val="825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ADAB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Luton &amp; Dunstable University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54D5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Luton &amp; Dunstable University Hospitals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55CF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Thayahlan</w:t>
            </w:r>
            <w:proofErr w:type="spellEnd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Iyngkaran</w:t>
            </w:r>
            <w:proofErr w:type="spellEnd"/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A549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Thayahlan</w:t>
            </w:r>
            <w:proofErr w:type="spellEnd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Iyngkaran</w:t>
            </w:r>
            <w:proofErr w:type="spellEnd"/>
          </w:p>
        </w:tc>
      </w:tr>
      <w:tr w:rsidR="00B52B61" w:rsidRPr="00B447E7" w14:paraId="6412C973" w14:textId="77777777" w:rsidTr="002073D0">
        <w:trPr>
          <w:trHeight w:val="825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0BD5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Royal Berkshire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D348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Royal Berkshire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3006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Farhan Ahmad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18DD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Farhan Ahmad</w:t>
            </w:r>
          </w:p>
        </w:tc>
      </w:tr>
      <w:tr w:rsidR="00B52B61" w:rsidRPr="00B447E7" w14:paraId="2F65B060" w14:textId="77777777" w:rsidTr="002073D0">
        <w:trPr>
          <w:trHeight w:val="825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21A9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Norfolk &amp; Norwich University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24EA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Norfolk &amp; Norwich University Hospitals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FAA6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Dr Davina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Pawaroo</w:t>
            </w:r>
            <w:proofErr w:type="spellEnd"/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A3BF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 xml:space="preserve">Dr Davina </w:t>
            </w:r>
            <w:proofErr w:type="spellStart"/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Pawaroo</w:t>
            </w:r>
            <w:proofErr w:type="spellEnd"/>
          </w:p>
        </w:tc>
      </w:tr>
      <w:tr w:rsidR="00B52B61" w:rsidRPr="00B447E7" w14:paraId="6C69A267" w14:textId="77777777" w:rsidTr="002073D0">
        <w:trPr>
          <w:trHeight w:val="825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327B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James Paget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9032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James Paget University Hospitals NHS Foundation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9D37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Mr Carl Philpott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12A8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Dr Nabil Mahmood</w:t>
            </w:r>
          </w:p>
        </w:tc>
      </w:tr>
      <w:tr w:rsidR="00B52B61" w:rsidRPr="00B447E7" w14:paraId="0585FF91" w14:textId="77777777" w:rsidTr="002073D0">
        <w:trPr>
          <w:trHeight w:val="689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2E6C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Castle Hill Hospital</w:t>
            </w: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B962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Hull and East Yorkshire Hospitals NHS Trust</w:t>
            </w: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9767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Mr James England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2A1B" w14:textId="77777777" w:rsidR="00B52B61" w:rsidRPr="00B447E7" w:rsidRDefault="00B52B61" w:rsidP="002073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E7">
              <w:rPr>
                <w:rFonts w:ascii="Times New Roman" w:hAnsi="Times New Roman" w:cs="Times New Roman"/>
                <w:sz w:val="16"/>
                <w:szCs w:val="16"/>
              </w:rPr>
              <w:t>Ms Jean Bainbridge</w:t>
            </w:r>
          </w:p>
        </w:tc>
      </w:tr>
    </w:tbl>
    <w:p w14:paraId="00AA022C" w14:textId="77777777" w:rsidR="00B52B61" w:rsidRDefault="00B52B61" w:rsidP="00B52B61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1521F0B5" w14:textId="77777777" w:rsidR="00B52B61" w:rsidRPr="00B447E7" w:rsidRDefault="00B52B61" w:rsidP="00B52B61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B447E7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B447E7">
        <w:rPr>
          <w:rFonts w:ascii="Times New Roman" w:hAnsi="Times New Roman" w:cs="Times New Roman"/>
          <w:sz w:val="16"/>
          <w:szCs w:val="16"/>
        </w:rPr>
        <w:t>ncludes radiographers and sonographers</w:t>
      </w:r>
    </w:p>
    <w:p w14:paraId="521C155D" w14:textId="77777777" w:rsidR="00B52B61" w:rsidRPr="00B447E7" w:rsidRDefault="00B52B61" w:rsidP="00B52B61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B447E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A6C6C50" w14:textId="77777777" w:rsidR="00B52B61" w:rsidRPr="00B447E7" w:rsidRDefault="00B52B61" w:rsidP="00B52B61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B447E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C83FAD9" w14:textId="77777777" w:rsidR="00B52B61" w:rsidRDefault="00B52B61" w:rsidP="00B52B61">
      <w:pPr>
        <w:spacing w:line="276" w:lineRule="auto"/>
      </w:pPr>
    </w:p>
    <w:p w14:paraId="7E3B431A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8A2858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3A8106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74A0D7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4B33E4" w14:textId="77777777" w:rsidR="00B52B61" w:rsidRDefault="00B52B61" w:rsidP="00B52B61">
      <w:pPr>
        <w:spacing w:line="276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129F3A" w14:textId="77777777" w:rsidR="00B52B61" w:rsidRDefault="00B52B61" w:rsidP="00B52B61">
      <w:pPr>
        <w:spacing w:before="40" w:line="254" w:lineRule="auto"/>
      </w:pPr>
      <w:r w:rsidRPr="1ACF9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732F0A" w14:textId="77777777" w:rsidR="00B52B61" w:rsidRDefault="00B52B61" w:rsidP="00B52B61">
      <w:pPr>
        <w:spacing w:before="39"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06A98" w14:textId="77777777" w:rsidR="00B52B61" w:rsidRDefault="00B52B61" w:rsidP="00B52B61"/>
    <w:p w14:paraId="6B6652DC" w14:textId="77777777" w:rsidR="00B52B61" w:rsidRDefault="00B52B61" w:rsidP="00B52B61">
      <w:pPr>
        <w:keepNext/>
        <w:keepLines/>
        <w:spacing w:before="40" w:after="0" w:line="480" w:lineRule="auto"/>
      </w:pPr>
    </w:p>
    <w:p w14:paraId="1098AD9B" w14:textId="77777777" w:rsidR="00C969EA" w:rsidRDefault="00C969EA"/>
    <w:sectPr w:rsidR="00C969EA" w:rsidSect="00B52B61">
      <w:footerReference w:type="default" r:id="rId5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B5AF" w14:textId="77777777" w:rsidR="00B52B61" w:rsidRDefault="00B52B61" w:rsidP="00733E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13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16</w:t>
    </w:r>
    <w:r>
      <w:rPr>
        <w:color w:val="000000"/>
      </w:rPr>
      <w:fldChar w:fldCharType="end"/>
    </w:r>
  </w:p>
  <w:p w14:paraId="5797ECD7" w14:textId="77777777" w:rsidR="00B52B61" w:rsidRDefault="00B52B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3090D"/>
    <w:multiLevelType w:val="hybridMultilevel"/>
    <w:tmpl w:val="B604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7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61"/>
    <w:rsid w:val="00063D5E"/>
    <w:rsid w:val="00146270"/>
    <w:rsid w:val="00232B21"/>
    <w:rsid w:val="006026EB"/>
    <w:rsid w:val="007E332C"/>
    <w:rsid w:val="00A979C8"/>
    <w:rsid w:val="00B52B61"/>
    <w:rsid w:val="00C9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8EEC"/>
  <w15:chartTrackingRefBased/>
  <w15:docId w15:val="{D36735F2-0038-47FB-9F4D-343316C2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61"/>
    <w:rPr>
      <w:rFonts w:ascii="Calibri" w:eastAsia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2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2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52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52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52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52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52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B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5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52B61"/>
  </w:style>
  <w:style w:type="paragraph" w:customStyle="1" w:styleId="TableParagraph">
    <w:name w:val="Table Paragraph"/>
    <w:basedOn w:val="Normal"/>
    <w:uiPriority w:val="1"/>
    <w:qFormat/>
    <w:rsid w:val="00B52B61"/>
    <w:pPr>
      <w:widowControl w:val="0"/>
      <w:autoSpaceDE w:val="0"/>
      <w:autoSpaceDN w:val="0"/>
      <w:spacing w:before="7" w:after="0" w:line="240" w:lineRule="auto"/>
      <w:jc w:val="center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B52B61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2B61"/>
    <w:rPr>
      <w:rFonts w:ascii="Calibri" w:eastAsia="Calibri" w:hAnsi="Calibri" w:cs="Calibri"/>
      <w:kern w:val="0"/>
      <w:lang w:val="en-US" w:eastAsia="en-GB"/>
    </w:rPr>
  </w:style>
  <w:style w:type="table" w:styleId="TableGrid">
    <w:name w:val="Table Grid"/>
    <w:basedOn w:val="TableNormal"/>
    <w:uiPriority w:val="59"/>
    <w:rsid w:val="00B52B61"/>
    <w:pPr>
      <w:spacing w:after="0" w:line="240" w:lineRule="auto"/>
    </w:pPr>
    <w:rPr>
      <w:rFonts w:ascii="Calibri" w:eastAsia="Calibri" w:hAnsi="Calibri" w:cs="Calibri"/>
      <w:kern w:val="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B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B61"/>
    <w:rPr>
      <w:rFonts w:ascii="Calibri" w:eastAsia="Calibri" w:hAnsi="Calibri" w:cs="Calibri"/>
      <w:kern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B61"/>
    <w:rPr>
      <w:rFonts w:ascii="Calibri" w:eastAsia="Calibri" w:hAnsi="Calibri" w:cs="Calibri"/>
      <w:b/>
      <w:bCs/>
      <w:kern w:val="0"/>
      <w:sz w:val="20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52B61"/>
    <w:pPr>
      <w:spacing w:before="240" w:after="0"/>
      <w:outlineLvl w:val="9"/>
    </w:pPr>
    <w:rPr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52B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52B61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B52B61"/>
    <w:pPr>
      <w:spacing w:after="100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2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61"/>
    <w:rPr>
      <w:rFonts w:ascii="Calibri" w:eastAsia="Calibri" w:hAnsi="Calibri" w:cs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2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61"/>
    <w:rPr>
      <w:rFonts w:ascii="Calibri" w:eastAsia="Calibri" w:hAnsi="Calibri" w:cs="Calibri"/>
      <w:kern w:val="0"/>
      <w:lang w:eastAsia="en-GB"/>
    </w:rPr>
  </w:style>
  <w:style w:type="character" w:customStyle="1" w:styleId="docsum-authors">
    <w:name w:val="docsum-authors"/>
    <w:basedOn w:val="DefaultParagraphFont"/>
    <w:rsid w:val="00B52B61"/>
  </w:style>
  <w:style w:type="character" w:customStyle="1" w:styleId="docsum-journal-citation">
    <w:name w:val="docsum-journal-citation"/>
    <w:basedOn w:val="DefaultParagraphFont"/>
    <w:rsid w:val="00B52B61"/>
  </w:style>
  <w:style w:type="character" w:customStyle="1" w:styleId="period">
    <w:name w:val="period"/>
    <w:basedOn w:val="DefaultParagraphFont"/>
    <w:rsid w:val="00B52B61"/>
  </w:style>
  <w:style w:type="character" w:customStyle="1" w:styleId="cit">
    <w:name w:val="cit"/>
    <w:basedOn w:val="DefaultParagraphFont"/>
    <w:rsid w:val="00B52B61"/>
  </w:style>
  <w:style w:type="paragraph" w:styleId="Revision">
    <w:name w:val="Revision"/>
    <w:hidden/>
    <w:uiPriority w:val="99"/>
    <w:semiHidden/>
    <w:rsid w:val="00B52B61"/>
    <w:pPr>
      <w:spacing w:after="0" w:line="240" w:lineRule="auto"/>
    </w:pPr>
    <w:rPr>
      <w:rFonts w:ascii="Calibri" w:eastAsia="Calibri" w:hAnsi="Calibri" w:cs="Calibri"/>
      <w:kern w:val="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61"/>
    <w:rPr>
      <w:rFonts w:ascii="Segoe UI" w:eastAsia="Calibri" w:hAnsi="Segoe UI" w:cs="Segoe UI"/>
      <w:kern w:val="0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2B6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B61"/>
    <w:rPr>
      <w:rFonts w:ascii="Calibri" w:eastAsia="Calibri" w:hAnsi="Calibri" w:cs="Calibri"/>
      <w:kern w:val="0"/>
      <w:szCs w:val="21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B6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52B61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2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B61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52B61"/>
    <w:rPr>
      <w:i/>
      <w:iCs/>
    </w:rPr>
  </w:style>
  <w:style w:type="paragraph" w:styleId="NoSpacing">
    <w:name w:val="No Spacing"/>
    <w:uiPriority w:val="1"/>
    <w:qFormat/>
    <w:rsid w:val="00B52B61"/>
    <w:pPr>
      <w:spacing w:after="0" w:line="240" w:lineRule="auto"/>
    </w:pPr>
    <w:rPr>
      <w:rFonts w:ascii="Calibri" w:eastAsia="Calibri" w:hAnsi="Calibri" w:cs="Calibri"/>
      <w:kern w:val="0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B52B61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52B61"/>
    <w:rPr>
      <w:rFonts w:ascii="Calibri" w:eastAsia="Calibri" w:hAnsi="Calibri" w:cs="Calibri"/>
      <w:noProof/>
      <w:kern w:val="0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B52B61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52B61"/>
    <w:rPr>
      <w:rFonts w:ascii="Calibri" w:eastAsia="Calibri" w:hAnsi="Calibri" w:cs="Calibri"/>
      <w:noProof/>
      <w:kern w:val="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2B6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5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Jones (Institute of Cancer and Genomic Sciences)</dc:creator>
  <cp:keywords/>
  <dc:description/>
  <cp:lastModifiedBy>Gemma Jones (Institute of Cancer and Genomic Sciences)</cp:lastModifiedBy>
  <cp:revision>1</cp:revision>
  <dcterms:created xsi:type="dcterms:W3CDTF">2024-07-30T13:24:00Z</dcterms:created>
  <dcterms:modified xsi:type="dcterms:W3CDTF">2024-07-30T13:25:00Z</dcterms:modified>
</cp:coreProperties>
</file>