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B49F1" w14:textId="5BFAB555" w:rsidR="00E010CB" w:rsidRPr="006C62F2" w:rsidRDefault="006C62F2" w:rsidP="006C62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Readme file for</w:t>
      </w:r>
      <w:r w:rsidR="006D105A">
        <w:rPr>
          <w:rFonts w:ascii="Arial" w:hAnsi="Arial" w:cs="Arial"/>
          <w:b/>
          <w:sz w:val="24"/>
          <w:szCs w:val="24"/>
        </w:rPr>
        <w:t xml:space="preserve"> </w:t>
      </w:r>
      <w:r w:rsidR="006D105A" w:rsidRPr="006D105A">
        <w:rPr>
          <w:rFonts w:ascii="Arial" w:hAnsi="Arial" w:cs="Arial"/>
          <w:b/>
          <w:sz w:val="24"/>
          <w:szCs w:val="24"/>
        </w:rPr>
        <w:t>Research data supporting the publication "Acute particulate matter exposure diminishes executive cognitive functioning after four hours regardless of inhalation pathway".</w:t>
      </w:r>
    </w:p>
    <w:p w14:paraId="1A2E1FA6" w14:textId="77777777" w:rsidR="006D105A" w:rsidRDefault="006D105A">
      <w:pPr>
        <w:rPr>
          <w:rFonts w:ascii="Arial" w:hAnsi="Arial" w:cs="Arial"/>
          <w:b/>
          <w:sz w:val="24"/>
          <w:szCs w:val="24"/>
        </w:rPr>
      </w:pPr>
    </w:p>
    <w:p w14:paraId="51A99911" w14:textId="4B6A2C37" w:rsidR="00256DE5" w:rsidRDefault="00256DE5">
      <w:pPr>
        <w:rPr>
          <w:rFonts w:ascii="Arial" w:hAnsi="Arial" w:cs="Arial"/>
          <w:sz w:val="24"/>
          <w:szCs w:val="24"/>
        </w:rPr>
      </w:pPr>
      <w:r w:rsidRPr="006C62F2">
        <w:rPr>
          <w:rFonts w:ascii="Arial" w:hAnsi="Arial" w:cs="Arial"/>
          <w:sz w:val="24"/>
          <w:szCs w:val="24"/>
        </w:rPr>
        <w:t xml:space="preserve">DOI: </w:t>
      </w:r>
      <w:hyperlink r:id="rId4" w:history="1">
        <w:r w:rsidRPr="006C62F2">
          <w:rPr>
            <w:rStyle w:val="Hyperlink"/>
            <w:rFonts w:ascii="Arial" w:hAnsi="Arial" w:cs="Arial"/>
            <w:sz w:val="24"/>
            <w:szCs w:val="24"/>
          </w:rPr>
          <w:t>https://doi.org/10.25500/edata.bham.00001145</w:t>
        </w:r>
      </w:hyperlink>
    </w:p>
    <w:p w14:paraId="02FDCF99" w14:textId="77777777" w:rsidR="00256DE5" w:rsidRDefault="00256DE5">
      <w:pPr>
        <w:rPr>
          <w:rFonts w:ascii="Arial" w:hAnsi="Arial" w:cs="Arial"/>
          <w:sz w:val="24"/>
          <w:szCs w:val="24"/>
        </w:rPr>
      </w:pPr>
    </w:p>
    <w:p w14:paraId="5DB3FE67" w14:textId="05F11D38" w:rsidR="00AE1DDD" w:rsidRDefault="00415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readme file details th</w:t>
      </w:r>
      <w:r w:rsidR="00517D1D">
        <w:rPr>
          <w:rFonts w:ascii="Arial" w:hAnsi="Arial" w:cs="Arial"/>
          <w:sz w:val="24"/>
          <w:szCs w:val="24"/>
        </w:rPr>
        <w:t>e name and content of each file located within this dataset.</w:t>
      </w:r>
    </w:p>
    <w:p w14:paraId="6570CD82" w14:textId="77777777" w:rsidR="00CC29CA" w:rsidRDefault="00CC29CA">
      <w:pPr>
        <w:rPr>
          <w:rFonts w:ascii="Arial" w:hAnsi="Arial" w:cs="Arial"/>
          <w:sz w:val="24"/>
          <w:szCs w:val="24"/>
        </w:rPr>
      </w:pPr>
    </w:p>
    <w:p w14:paraId="53631A78" w14:textId="334CFD17" w:rsidR="00244D48" w:rsidRDefault="008D34D8">
      <w:pPr>
        <w:rPr>
          <w:rFonts w:ascii="Arial" w:hAnsi="Arial" w:cs="Arial"/>
          <w:sz w:val="24"/>
          <w:szCs w:val="24"/>
        </w:rPr>
      </w:pPr>
      <w:r w:rsidRPr="008D34D8">
        <w:rPr>
          <w:rFonts w:ascii="Arial" w:hAnsi="Arial" w:cs="Arial"/>
          <w:sz w:val="24"/>
          <w:szCs w:val="24"/>
        </w:rPr>
        <w:t xml:space="preserve">Within </w:t>
      </w:r>
      <w:r w:rsidR="005F7773">
        <w:rPr>
          <w:rFonts w:ascii="Arial" w:hAnsi="Arial" w:cs="Arial"/>
          <w:sz w:val="24"/>
          <w:szCs w:val="24"/>
        </w:rPr>
        <w:t xml:space="preserve">both consolidated and </w:t>
      </w:r>
      <w:r w:rsidRPr="008D34D8">
        <w:rPr>
          <w:rFonts w:ascii="Arial" w:hAnsi="Arial" w:cs="Arial"/>
          <w:sz w:val="24"/>
          <w:szCs w:val="24"/>
        </w:rPr>
        <w:t>raw data files, rows represent individual trials or time points, while columns contain identifiers and corresponding data. The top row serves as the header, describing the meaning of each column.</w:t>
      </w:r>
    </w:p>
    <w:p w14:paraId="2C161F59" w14:textId="77777777" w:rsidR="00256DE5" w:rsidRPr="006C62F2" w:rsidRDefault="00256DE5">
      <w:pPr>
        <w:rPr>
          <w:rFonts w:ascii="Arial" w:hAnsi="Arial" w:cs="Arial"/>
          <w:sz w:val="24"/>
          <w:szCs w:val="24"/>
        </w:rPr>
      </w:pPr>
    </w:p>
    <w:p w14:paraId="2BE17E01" w14:textId="0FB830E9" w:rsidR="00BA19EA" w:rsidRPr="00E526F6" w:rsidRDefault="000F06C6">
      <w:pPr>
        <w:rPr>
          <w:rFonts w:ascii="Arial" w:hAnsi="Arial" w:cs="Arial"/>
          <w:b/>
          <w:bCs/>
          <w:sz w:val="24"/>
          <w:szCs w:val="24"/>
        </w:rPr>
      </w:pPr>
      <w:r w:rsidRPr="00256DE5">
        <w:rPr>
          <w:rFonts w:ascii="Arial" w:hAnsi="Arial" w:cs="Arial"/>
          <w:b/>
          <w:bCs/>
          <w:sz w:val="24"/>
          <w:szCs w:val="24"/>
        </w:rPr>
        <w:t>The following files have been archived: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724"/>
        <w:gridCol w:w="3951"/>
        <w:gridCol w:w="3532"/>
      </w:tblGrid>
      <w:tr w:rsidR="002B7849" w:rsidRPr="006C62F2" w14:paraId="70C20749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7DDCC2A5" w14:textId="3E70AA8F" w:rsidR="002B7849" w:rsidRPr="006C62F2" w:rsidRDefault="002B7849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File Name</w:t>
            </w:r>
          </w:p>
        </w:tc>
        <w:tc>
          <w:tcPr>
            <w:tcW w:w="3951" w:type="dxa"/>
            <w:vAlign w:val="center"/>
          </w:tcPr>
          <w:p w14:paraId="1924235D" w14:textId="7283A763" w:rsidR="002B7849" w:rsidRPr="006C62F2" w:rsidRDefault="00C86EA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3532" w:type="dxa"/>
            <w:vAlign w:val="center"/>
          </w:tcPr>
          <w:p w14:paraId="1A6D5E29" w14:textId="1DD8C987" w:rsidR="002B7849" w:rsidRPr="006C62F2" w:rsidRDefault="00C86EA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</w:tr>
      <w:tr w:rsidR="00BA19EA" w:rsidRPr="006C62F2" w14:paraId="1F33CE5A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70DBB135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SNB_Consolidated.xlsx</w:t>
            </w:r>
          </w:p>
        </w:tc>
        <w:tc>
          <w:tcPr>
            <w:tcW w:w="3951" w:type="dxa"/>
            <w:vAlign w:val="center"/>
          </w:tcPr>
          <w:p w14:paraId="372A2EDF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Spatial n-back Task</w:t>
            </w:r>
          </w:p>
        </w:tc>
        <w:tc>
          <w:tcPr>
            <w:tcW w:w="3532" w:type="dxa"/>
            <w:vAlign w:val="center"/>
          </w:tcPr>
          <w:p w14:paraId="6854FB26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Working Memory</w:t>
            </w:r>
          </w:p>
        </w:tc>
      </w:tr>
      <w:tr w:rsidR="00BA19EA" w:rsidRPr="006C62F2" w14:paraId="58055473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21801B9A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ERT_Consolidated.xlsx</w:t>
            </w:r>
          </w:p>
        </w:tc>
        <w:tc>
          <w:tcPr>
            <w:tcW w:w="3951" w:type="dxa"/>
            <w:vAlign w:val="center"/>
          </w:tcPr>
          <w:p w14:paraId="4AAFB2AB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Expression Recognition Task</w:t>
            </w:r>
          </w:p>
        </w:tc>
        <w:tc>
          <w:tcPr>
            <w:tcW w:w="3532" w:type="dxa"/>
            <w:vAlign w:val="center"/>
          </w:tcPr>
          <w:p w14:paraId="51662E26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Socio-emotional Cognition</w:t>
            </w:r>
          </w:p>
        </w:tc>
      </w:tr>
      <w:tr w:rsidR="00BA19EA" w:rsidRPr="006C62F2" w14:paraId="18DB7307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5F85A827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PVT_Consolidated.xlsx</w:t>
            </w:r>
          </w:p>
        </w:tc>
        <w:tc>
          <w:tcPr>
            <w:tcW w:w="3951" w:type="dxa"/>
            <w:vAlign w:val="center"/>
          </w:tcPr>
          <w:p w14:paraId="2590BAFC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Psychomotor Vigilance Task</w:t>
            </w:r>
          </w:p>
        </w:tc>
        <w:tc>
          <w:tcPr>
            <w:tcW w:w="3532" w:type="dxa"/>
            <w:vAlign w:val="center"/>
          </w:tcPr>
          <w:p w14:paraId="3C620EB8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Psychomotor Speed and Sustained Attention</w:t>
            </w:r>
          </w:p>
        </w:tc>
      </w:tr>
      <w:tr w:rsidR="00BA19EA" w:rsidRPr="006C62F2" w14:paraId="692E9472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35D88047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FIT_Consolidated.xlsx</w:t>
            </w:r>
          </w:p>
        </w:tc>
        <w:tc>
          <w:tcPr>
            <w:tcW w:w="3951" w:type="dxa"/>
            <w:vAlign w:val="center"/>
          </w:tcPr>
          <w:p w14:paraId="4DBDE821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Face Identification Task</w:t>
            </w:r>
          </w:p>
        </w:tc>
        <w:tc>
          <w:tcPr>
            <w:tcW w:w="3532" w:type="dxa"/>
            <w:vAlign w:val="center"/>
          </w:tcPr>
          <w:p w14:paraId="097F06A5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Selective Attention (Executive Function)</w:t>
            </w:r>
          </w:p>
        </w:tc>
      </w:tr>
      <w:tr w:rsidR="00BA19EA" w:rsidRPr="006C62F2" w14:paraId="025B00BE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3B01D592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PM_Consolidated.xlsx</w:t>
            </w:r>
          </w:p>
        </w:tc>
        <w:tc>
          <w:tcPr>
            <w:tcW w:w="3951" w:type="dxa"/>
            <w:vAlign w:val="center"/>
          </w:tcPr>
          <w:p w14:paraId="506B1B0E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particulate matter data from the exposure session</w:t>
            </w:r>
          </w:p>
        </w:tc>
        <w:tc>
          <w:tcPr>
            <w:tcW w:w="3532" w:type="dxa"/>
            <w:vAlign w:val="center"/>
          </w:tcPr>
          <w:p w14:paraId="37F9B9D5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Air Quality – Particulate Matter (PM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10</w:t>
            </w:r>
            <w:r w:rsidRPr="006C62F2">
              <w:rPr>
                <w:rFonts w:ascii="Arial" w:hAnsi="Arial" w:cs="Arial"/>
                <w:sz w:val="24"/>
                <w:szCs w:val="24"/>
              </w:rPr>
              <w:t xml:space="preserve"> and PM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2.5</w:t>
            </w:r>
            <w:r w:rsidRPr="006C62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A19EA" w:rsidRPr="006C62F2" w14:paraId="0E65A7B1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78381CC3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CO2_Consolidated.xlsx</w:t>
            </w:r>
          </w:p>
        </w:tc>
        <w:tc>
          <w:tcPr>
            <w:tcW w:w="3951" w:type="dxa"/>
            <w:vAlign w:val="center"/>
          </w:tcPr>
          <w:p w14:paraId="1BB45756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carbon dioxide data from the exposure session</w:t>
            </w:r>
          </w:p>
        </w:tc>
        <w:tc>
          <w:tcPr>
            <w:tcW w:w="3532" w:type="dxa"/>
            <w:vAlign w:val="center"/>
          </w:tcPr>
          <w:p w14:paraId="70873769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Air Quality – Carbon Dioxide (CO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C62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A19EA" w:rsidRPr="006C62F2" w14:paraId="5B125962" w14:textId="77777777" w:rsidTr="00615B32">
        <w:trPr>
          <w:trHeight w:val="567"/>
        </w:trPr>
        <w:tc>
          <w:tcPr>
            <w:tcW w:w="2724" w:type="dxa"/>
            <w:vAlign w:val="center"/>
          </w:tcPr>
          <w:p w14:paraId="6CDEDE2E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Demographics.xlsx</w:t>
            </w:r>
          </w:p>
        </w:tc>
        <w:tc>
          <w:tcPr>
            <w:tcW w:w="3951" w:type="dxa"/>
            <w:vAlign w:val="center"/>
          </w:tcPr>
          <w:p w14:paraId="3CFE8359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Reported Participant Information</w:t>
            </w:r>
          </w:p>
        </w:tc>
        <w:tc>
          <w:tcPr>
            <w:tcW w:w="3532" w:type="dxa"/>
            <w:vAlign w:val="center"/>
          </w:tcPr>
          <w:p w14:paraId="0B01B1E5" w14:textId="77777777" w:rsidR="00BA19EA" w:rsidRPr="006C62F2" w:rsidRDefault="00BA19E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Participant Information</w:t>
            </w:r>
          </w:p>
        </w:tc>
      </w:tr>
      <w:tr w:rsidR="00615B32" w:rsidRPr="006C62F2" w14:paraId="70FFDAD0" w14:textId="77777777" w:rsidTr="00615B32">
        <w:trPr>
          <w:trHeight w:val="567"/>
        </w:trPr>
        <w:tc>
          <w:tcPr>
            <w:tcW w:w="2724" w:type="dxa"/>
          </w:tcPr>
          <w:p w14:paraId="7AB97035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SNB_Raw.xlsx</w:t>
            </w:r>
          </w:p>
        </w:tc>
        <w:tc>
          <w:tcPr>
            <w:tcW w:w="3951" w:type="dxa"/>
          </w:tcPr>
          <w:p w14:paraId="37128E20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Spatial n-back Task</w:t>
            </w:r>
          </w:p>
        </w:tc>
        <w:tc>
          <w:tcPr>
            <w:tcW w:w="3532" w:type="dxa"/>
          </w:tcPr>
          <w:p w14:paraId="5DE3389E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Working Memory</w:t>
            </w:r>
          </w:p>
        </w:tc>
      </w:tr>
      <w:tr w:rsidR="00615B32" w:rsidRPr="006C62F2" w14:paraId="795FE19E" w14:textId="77777777" w:rsidTr="00615B32">
        <w:trPr>
          <w:trHeight w:val="567"/>
        </w:trPr>
        <w:tc>
          <w:tcPr>
            <w:tcW w:w="2724" w:type="dxa"/>
          </w:tcPr>
          <w:p w14:paraId="227A6077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ERT_Raw.xlsx</w:t>
            </w:r>
          </w:p>
        </w:tc>
        <w:tc>
          <w:tcPr>
            <w:tcW w:w="3951" w:type="dxa"/>
          </w:tcPr>
          <w:p w14:paraId="4BD3754B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Expression Recognition Task</w:t>
            </w:r>
          </w:p>
        </w:tc>
        <w:tc>
          <w:tcPr>
            <w:tcW w:w="3532" w:type="dxa"/>
          </w:tcPr>
          <w:p w14:paraId="0A47A3B4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Socio-emotional Cognition</w:t>
            </w:r>
          </w:p>
        </w:tc>
      </w:tr>
      <w:tr w:rsidR="00615B32" w:rsidRPr="006C62F2" w14:paraId="40354BBE" w14:textId="77777777" w:rsidTr="00615B32">
        <w:trPr>
          <w:trHeight w:val="567"/>
        </w:trPr>
        <w:tc>
          <w:tcPr>
            <w:tcW w:w="2724" w:type="dxa"/>
          </w:tcPr>
          <w:p w14:paraId="6E5F5133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PVT_Raw.xlsx</w:t>
            </w:r>
          </w:p>
        </w:tc>
        <w:tc>
          <w:tcPr>
            <w:tcW w:w="3951" w:type="dxa"/>
          </w:tcPr>
          <w:p w14:paraId="59BAF375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Psychomotor Vigilance Task</w:t>
            </w:r>
          </w:p>
        </w:tc>
        <w:tc>
          <w:tcPr>
            <w:tcW w:w="3532" w:type="dxa"/>
          </w:tcPr>
          <w:p w14:paraId="741AB8ED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Psychomotor Speed and Sustained Attention</w:t>
            </w:r>
          </w:p>
        </w:tc>
      </w:tr>
      <w:tr w:rsidR="00615B32" w:rsidRPr="006C62F2" w14:paraId="39E6586B" w14:textId="77777777" w:rsidTr="00615B32">
        <w:trPr>
          <w:trHeight w:val="567"/>
        </w:trPr>
        <w:tc>
          <w:tcPr>
            <w:tcW w:w="2724" w:type="dxa"/>
          </w:tcPr>
          <w:p w14:paraId="57A78460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FIT_Raw.xlsx</w:t>
            </w:r>
          </w:p>
        </w:tc>
        <w:tc>
          <w:tcPr>
            <w:tcW w:w="3951" w:type="dxa"/>
          </w:tcPr>
          <w:p w14:paraId="508E343C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Face Identification Task</w:t>
            </w:r>
          </w:p>
        </w:tc>
        <w:tc>
          <w:tcPr>
            <w:tcW w:w="3532" w:type="dxa"/>
          </w:tcPr>
          <w:p w14:paraId="7A76C812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Selective Attention (Executive Function)</w:t>
            </w:r>
          </w:p>
        </w:tc>
      </w:tr>
      <w:tr w:rsidR="00615B32" w:rsidRPr="006C62F2" w14:paraId="4D2CC173" w14:textId="77777777" w:rsidTr="00615B32">
        <w:trPr>
          <w:trHeight w:val="567"/>
        </w:trPr>
        <w:tc>
          <w:tcPr>
            <w:tcW w:w="2724" w:type="dxa"/>
          </w:tcPr>
          <w:p w14:paraId="54DAE0B4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PM_Raw.xlsx</w:t>
            </w:r>
          </w:p>
        </w:tc>
        <w:tc>
          <w:tcPr>
            <w:tcW w:w="3951" w:type="dxa"/>
          </w:tcPr>
          <w:p w14:paraId="6BEB3F71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particulate matter data from the exposure session</w:t>
            </w:r>
          </w:p>
        </w:tc>
        <w:tc>
          <w:tcPr>
            <w:tcW w:w="3532" w:type="dxa"/>
          </w:tcPr>
          <w:p w14:paraId="3AEDBB07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Air Quality – Particulate Matter (PM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10</w:t>
            </w:r>
            <w:r w:rsidRPr="006C62F2">
              <w:rPr>
                <w:rFonts w:ascii="Arial" w:hAnsi="Arial" w:cs="Arial"/>
                <w:sz w:val="24"/>
                <w:szCs w:val="24"/>
              </w:rPr>
              <w:t xml:space="preserve"> and PM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2.5</w:t>
            </w:r>
            <w:r w:rsidRPr="006C62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15B32" w:rsidRPr="006C62F2" w14:paraId="55E9298D" w14:textId="77777777" w:rsidTr="00615B32">
        <w:trPr>
          <w:trHeight w:val="567"/>
        </w:trPr>
        <w:tc>
          <w:tcPr>
            <w:tcW w:w="2724" w:type="dxa"/>
          </w:tcPr>
          <w:p w14:paraId="490644AD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CO2_Raw.xlsx</w:t>
            </w:r>
          </w:p>
        </w:tc>
        <w:tc>
          <w:tcPr>
            <w:tcW w:w="3951" w:type="dxa"/>
          </w:tcPr>
          <w:p w14:paraId="108569E8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carbon dioxide data from the exposure session</w:t>
            </w:r>
          </w:p>
        </w:tc>
        <w:tc>
          <w:tcPr>
            <w:tcW w:w="3532" w:type="dxa"/>
          </w:tcPr>
          <w:p w14:paraId="693CA093" w14:textId="77777777" w:rsidR="00615B32" w:rsidRPr="006C62F2" w:rsidRDefault="00615B32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Air Quality – Carbon Dioxide (CO</w:t>
            </w:r>
            <w:r w:rsidRPr="006C62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C62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ADDC786" w14:textId="77777777" w:rsidR="00E526F6" w:rsidRDefault="00E526F6">
      <w:pPr>
        <w:rPr>
          <w:rFonts w:ascii="Arial" w:hAnsi="Arial" w:cs="Arial"/>
          <w:b/>
          <w:sz w:val="24"/>
          <w:szCs w:val="24"/>
        </w:rPr>
      </w:pPr>
    </w:p>
    <w:p w14:paraId="3E55A179" w14:textId="77777777" w:rsidR="00E526F6" w:rsidRDefault="00381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Related </w:t>
      </w:r>
      <w:r w:rsidR="00C12F9B" w:rsidRPr="006C62F2">
        <w:rPr>
          <w:rFonts w:ascii="Arial" w:hAnsi="Arial" w:cs="Arial"/>
          <w:b/>
          <w:sz w:val="24"/>
          <w:szCs w:val="24"/>
        </w:rPr>
        <w:t>Publication</w:t>
      </w:r>
      <w:r w:rsidR="00C12F9B" w:rsidRPr="006C62F2">
        <w:rPr>
          <w:rFonts w:ascii="Arial" w:hAnsi="Arial" w:cs="Arial"/>
          <w:sz w:val="24"/>
          <w:szCs w:val="24"/>
        </w:rPr>
        <w:t>:</w:t>
      </w:r>
    </w:p>
    <w:p w14:paraId="394A19E0" w14:textId="1B9BAD57" w:rsidR="00C12F9B" w:rsidRDefault="00C86EAA">
      <w:pPr>
        <w:rPr>
          <w:rFonts w:ascii="Arial" w:hAnsi="Arial" w:cs="Arial"/>
          <w:sz w:val="24"/>
          <w:szCs w:val="24"/>
        </w:rPr>
      </w:pPr>
      <w:r w:rsidRPr="006C62F2">
        <w:rPr>
          <w:rFonts w:ascii="Arial" w:hAnsi="Arial" w:cs="Arial"/>
          <w:sz w:val="24"/>
          <w:szCs w:val="24"/>
        </w:rPr>
        <w:t xml:space="preserve">Faherty, T., Raymond, J. E., </w:t>
      </w:r>
      <w:proofErr w:type="spellStart"/>
      <w:r w:rsidRPr="006C62F2">
        <w:rPr>
          <w:rFonts w:ascii="Arial" w:hAnsi="Arial" w:cs="Arial"/>
          <w:sz w:val="24"/>
          <w:szCs w:val="24"/>
        </w:rPr>
        <w:t>McFiggans</w:t>
      </w:r>
      <w:proofErr w:type="spellEnd"/>
      <w:r w:rsidRPr="006C62F2">
        <w:rPr>
          <w:rFonts w:ascii="Arial" w:hAnsi="Arial" w:cs="Arial"/>
          <w:sz w:val="24"/>
          <w:szCs w:val="24"/>
        </w:rPr>
        <w:t>, G., and Pope, F. D. (</w:t>
      </w:r>
      <w:r w:rsidRPr="006C62F2">
        <w:rPr>
          <w:rFonts w:ascii="Arial" w:hAnsi="Arial" w:cs="Arial"/>
          <w:i/>
          <w:iCs/>
          <w:sz w:val="24"/>
          <w:szCs w:val="24"/>
        </w:rPr>
        <w:t>in press</w:t>
      </w:r>
      <w:r w:rsidRPr="006C62F2">
        <w:rPr>
          <w:rFonts w:ascii="Arial" w:hAnsi="Arial" w:cs="Arial"/>
          <w:sz w:val="24"/>
          <w:szCs w:val="24"/>
        </w:rPr>
        <w:t>)</w:t>
      </w:r>
      <w:r w:rsidR="0034648D" w:rsidRPr="006C62F2">
        <w:rPr>
          <w:rFonts w:ascii="Arial" w:hAnsi="Arial" w:cs="Arial"/>
          <w:sz w:val="24"/>
          <w:szCs w:val="24"/>
        </w:rPr>
        <w:t xml:space="preserve">. </w:t>
      </w:r>
      <w:r w:rsidR="00256DE5" w:rsidRPr="00256DE5">
        <w:rPr>
          <w:rFonts w:ascii="Arial" w:hAnsi="Arial" w:cs="Arial"/>
          <w:sz w:val="24"/>
          <w:szCs w:val="24"/>
        </w:rPr>
        <w:t>Acute particulate matter exposure diminishes executive cognitive functioning after four hours regardless of inhalation pathway</w:t>
      </w:r>
      <w:r w:rsidR="00256DE5">
        <w:rPr>
          <w:rFonts w:ascii="Arial" w:hAnsi="Arial" w:cs="Arial"/>
          <w:sz w:val="24"/>
          <w:szCs w:val="24"/>
        </w:rPr>
        <w:t xml:space="preserve">, </w:t>
      </w:r>
      <w:r w:rsidR="00256DE5" w:rsidRPr="00256DE5">
        <w:rPr>
          <w:rFonts w:ascii="Arial" w:hAnsi="Arial" w:cs="Arial"/>
          <w:i/>
          <w:iCs/>
          <w:sz w:val="24"/>
          <w:szCs w:val="24"/>
        </w:rPr>
        <w:t>Nature Communications</w:t>
      </w:r>
      <w:r w:rsidR="00256DE5">
        <w:rPr>
          <w:rFonts w:ascii="Arial" w:hAnsi="Arial" w:cs="Arial"/>
          <w:sz w:val="24"/>
          <w:szCs w:val="24"/>
        </w:rPr>
        <w:t>.</w:t>
      </w:r>
    </w:p>
    <w:p w14:paraId="26C72C00" w14:textId="77777777" w:rsidR="00E526F6" w:rsidRDefault="00E526F6" w:rsidP="00E52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Acknowledgements:</w:t>
      </w:r>
    </w:p>
    <w:p w14:paraId="41EFB086" w14:textId="77777777" w:rsidR="00E526F6" w:rsidRDefault="00E526F6" w:rsidP="00E52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created for t</w:t>
      </w:r>
      <w:r w:rsidRPr="00256DE5">
        <w:rPr>
          <w:rFonts w:ascii="Arial" w:hAnsi="Arial" w:cs="Arial"/>
          <w:sz w:val="24"/>
          <w:szCs w:val="24"/>
        </w:rPr>
        <w:t xml:space="preserve">his work was supported by the Natural Environment Research Council [grant number NE/W002213/1], awarded to </w:t>
      </w:r>
      <w:r>
        <w:rPr>
          <w:rFonts w:ascii="Arial" w:hAnsi="Arial" w:cs="Arial"/>
          <w:sz w:val="24"/>
          <w:szCs w:val="24"/>
        </w:rPr>
        <w:t>Dr Thomas Faherty</w:t>
      </w:r>
      <w:r w:rsidRPr="00256D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Professor Gordon </w:t>
      </w:r>
      <w:proofErr w:type="spellStart"/>
      <w:r>
        <w:rPr>
          <w:rFonts w:ascii="Arial" w:hAnsi="Arial" w:cs="Arial"/>
          <w:sz w:val="24"/>
          <w:szCs w:val="24"/>
        </w:rPr>
        <w:t>McFiggans</w:t>
      </w:r>
      <w:proofErr w:type="spellEnd"/>
      <w:r w:rsidRPr="00256DE5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Professor </w:t>
      </w:r>
      <w:r w:rsidRPr="00256DE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rancis Pope</w:t>
      </w:r>
      <w:r w:rsidRPr="00256DE5">
        <w:rPr>
          <w:rFonts w:ascii="Arial" w:hAnsi="Arial" w:cs="Arial"/>
          <w:sz w:val="24"/>
          <w:szCs w:val="24"/>
        </w:rPr>
        <w:t>; and the University of Birmingham Institute for Global Innovation Clean Air Theme [grant number 5054], awarded to</w:t>
      </w:r>
      <w:r>
        <w:rPr>
          <w:rFonts w:ascii="Arial" w:hAnsi="Arial" w:cs="Arial"/>
          <w:sz w:val="24"/>
          <w:szCs w:val="24"/>
        </w:rPr>
        <w:t xml:space="preserve"> Dr </w:t>
      </w:r>
      <w:r w:rsidRPr="00256DE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homas </w:t>
      </w:r>
      <w:r w:rsidRPr="00256DE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aherty</w:t>
      </w:r>
      <w:r w:rsidRPr="00256D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Professor Jane Raymond</w:t>
      </w:r>
      <w:r w:rsidRPr="00256DE5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>Professor Francis Pope.</w:t>
      </w:r>
    </w:p>
    <w:p w14:paraId="0FFDE6DC" w14:textId="77777777" w:rsidR="009A6916" w:rsidRDefault="009A6916">
      <w:pPr>
        <w:rPr>
          <w:rFonts w:ascii="Arial" w:hAnsi="Arial" w:cs="Arial"/>
          <w:sz w:val="24"/>
          <w:szCs w:val="24"/>
        </w:rPr>
      </w:pPr>
    </w:p>
    <w:p w14:paraId="5FB53346" w14:textId="2ED0224E" w:rsidR="009A6916" w:rsidRPr="00256DE5" w:rsidRDefault="009A6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any additional </w:t>
      </w:r>
      <w:r>
        <w:rPr>
          <w:rFonts w:ascii="Arial" w:hAnsi="Arial" w:cs="Arial"/>
          <w:sz w:val="24"/>
          <w:szCs w:val="24"/>
        </w:rPr>
        <w:t>queries please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contact</w:t>
      </w:r>
      <w:r>
        <w:rPr>
          <w:rFonts w:ascii="Arial" w:hAnsi="Arial" w:cs="Arial"/>
          <w:sz w:val="24"/>
          <w:szCs w:val="24"/>
        </w:rPr>
        <w:t xml:space="preserve"> Dr Thomas Faherty </w:t>
      </w:r>
      <w:r w:rsidR="00AE1DDD">
        <w:rPr>
          <w:rFonts w:ascii="Arial" w:hAnsi="Arial" w:cs="Arial"/>
          <w:sz w:val="24"/>
          <w:szCs w:val="24"/>
        </w:rPr>
        <w:t>(</w:t>
      </w:r>
      <w:hyperlink r:id="rId5" w:history="1">
        <w:r w:rsidR="00AE1DDD" w:rsidRPr="001D15C1">
          <w:rPr>
            <w:rStyle w:val="Hyperlink"/>
            <w:rFonts w:ascii="Arial" w:hAnsi="Arial" w:cs="Arial"/>
            <w:sz w:val="24"/>
            <w:szCs w:val="24"/>
          </w:rPr>
          <w:t>t.b.s.faherty@bham.ac.uk</w:t>
        </w:r>
      </w:hyperlink>
      <w:r w:rsidR="00AE1DD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in the first instance, with Professor Francis Pope (</w:t>
      </w:r>
      <w:hyperlink r:id="rId6" w:history="1">
        <w:r w:rsidRPr="001D15C1">
          <w:rPr>
            <w:rStyle w:val="Hyperlink"/>
            <w:rFonts w:ascii="Arial" w:hAnsi="Arial" w:cs="Arial"/>
            <w:sz w:val="24"/>
            <w:szCs w:val="24"/>
          </w:rPr>
          <w:t>f.pope@bham.ac.uk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="00AE1DDD">
        <w:rPr>
          <w:rFonts w:ascii="Arial" w:hAnsi="Arial" w:cs="Arial"/>
          <w:sz w:val="24"/>
          <w:szCs w:val="24"/>
        </w:rPr>
        <w:t>as the second point of call.</w:t>
      </w:r>
    </w:p>
    <w:sectPr w:rsidR="009A6916" w:rsidRPr="0025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IytjS2tLC0tDBQ0lEKTi0uzszPAykwrAUA1xwGtSwAAAA="/>
  </w:docVars>
  <w:rsids>
    <w:rsidRoot w:val="00DD1FA8"/>
    <w:rsid w:val="000F06C6"/>
    <w:rsid w:val="00121130"/>
    <w:rsid w:val="001D3D77"/>
    <w:rsid w:val="00244D48"/>
    <w:rsid w:val="00256767"/>
    <w:rsid w:val="00256DE5"/>
    <w:rsid w:val="002B7849"/>
    <w:rsid w:val="0034648D"/>
    <w:rsid w:val="00377F0F"/>
    <w:rsid w:val="0038140A"/>
    <w:rsid w:val="003B3C82"/>
    <w:rsid w:val="00414A0E"/>
    <w:rsid w:val="00415C37"/>
    <w:rsid w:val="00517D1D"/>
    <w:rsid w:val="005F7773"/>
    <w:rsid w:val="00615B32"/>
    <w:rsid w:val="00684A3C"/>
    <w:rsid w:val="006C62F2"/>
    <w:rsid w:val="006D105A"/>
    <w:rsid w:val="007B6A68"/>
    <w:rsid w:val="008D34D8"/>
    <w:rsid w:val="009A6916"/>
    <w:rsid w:val="009D076B"/>
    <w:rsid w:val="00A12D01"/>
    <w:rsid w:val="00A86E26"/>
    <w:rsid w:val="00AB5DC8"/>
    <w:rsid w:val="00AE1DDD"/>
    <w:rsid w:val="00B33977"/>
    <w:rsid w:val="00BA19EA"/>
    <w:rsid w:val="00C12F9B"/>
    <w:rsid w:val="00C86EAA"/>
    <w:rsid w:val="00CC29CA"/>
    <w:rsid w:val="00D1400A"/>
    <w:rsid w:val="00DD1FA8"/>
    <w:rsid w:val="00E010CB"/>
    <w:rsid w:val="00E07FD4"/>
    <w:rsid w:val="00E5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06E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.pope@bham.ac.uk" TargetMode="External"/><Relationship Id="rId5" Type="http://schemas.openxmlformats.org/officeDocument/2006/relationships/hyperlink" Target="mailto:t.b.s.faherty@bham.ac.uk" TargetMode="External"/><Relationship Id="rId4" Type="http://schemas.openxmlformats.org/officeDocument/2006/relationships/hyperlink" Target="https://doi.org/10.25500/edata.bham.0000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Thomas Faherty (Geography, Earth and Environmental Sciences)</cp:lastModifiedBy>
  <cp:revision>22</cp:revision>
  <dcterms:created xsi:type="dcterms:W3CDTF">2024-12-04T17:12:00Z</dcterms:created>
  <dcterms:modified xsi:type="dcterms:W3CDTF">2024-12-05T11:48:00Z</dcterms:modified>
</cp:coreProperties>
</file>