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C7B"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32C80BD2" wp14:editId="3F7A4823">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289371FC" w14:textId="77777777" w:rsidR="00E010CB" w:rsidRDefault="00E010CB">
      <w:pPr>
        <w:rPr>
          <w:b/>
        </w:rPr>
      </w:pPr>
    </w:p>
    <w:p w14:paraId="3B8885F9" w14:textId="77777777" w:rsidR="00E010CB" w:rsidRDefault="00E010CB">
      <w:pPr>
        <w:rPr>
          <w:b/>
        </w:rPr>
      </w:pPr>
    </w:p>
    <w:p w14:paraId="7F88687C" w14:textId="77777777" w:rsidR="00E010CB" w:rsidRDefault="00E010CB">
      <w:pPr>
        <w:rPr>
          <w:b/>
        </w:rPr>
      </w:pPr>
    </w:p>
    <w:p w14:paraId="2F1D64BE" w14:textId="50AEFF1C" w:rsidR="00121130" w:rsidRDefault="00C12F9B">
      <w:r w:rsidRPr="00C12F9B">
        <w:rPr>
          <w:b/>
        </w:rPr>
        <w:t>Grant Number</w:t>
      </w:r>
      <w:r>
        <w:t xml:space="preserve">: </w:t>
      </w:r>
      <w:r w:rsidR="002B1790" w:rsidRPr="00E8372C">
        <w:rPr>
          <w:rFonts w:cstheme="minorHAnsi"/>
          <w:shd w:val="clear" w:color="auto" w:fill="FFFFFF"/>
        </w:rPr>
        <w:t>EP/R024006/1</w:t>
      </w:r>
      <w:r w:rsidR="00126BD5">
        <w:rPr>
          <w:rFonts w:cstheme="minorHAnsi"/>
          <w:shd w:val="clear" w:color="auto" w:fill="FFFFFF"/>
        </w:rPr>
        <w:t xml:space="preserve">, </w:t>
      </w:r>
      <w:r w:rsidR="00126BD5" w:rsidRPr="00000750">
        <w:rPr>
          <w:rFonts w:cstheme="minorHAnsi"/>
        </w:rPr>
        <w:t>EP/T02349X/1</w:t>
      </w:r>
      <w:r w:rsidR="00126BD5" w:rsidRPr="00700481">
        <w:rPr>
          <w:rFonts w:cstheme="minorHAnsi"/>
        </w:rPr>
        <w:t xml:space="preserve"> </w:t>
      </w:r>
      <w:r w:rsidR="002B1790">
        <w:rPr>
          <w:rFonts w:cstheme="minorHAnsi"/>
          <w:shd w:val="clear" w:color="auto" w:fill="FFFFFF"/>
        </w:rPr>
        <w:t xml:space="preserve"> and the university of Birmingham</w:t>
      </w:r>
    </w:p>
    <w:p w14:paraId="67FF410F" w14:textId="42231FAE" w:rsidR="000F06C6" w:rsidRPr="002B1790" w:rsidRDefault="000F06C6" w:rsidP="00126BD5">
      <w:pPr>
        <w:spacing w:line="360" w:lineRule="auto"/>
        <w:jc w:val="center"/>
        <w:rPr>
          <w:color w:val="000000" w:themeColor="text1"/>
        </w:rPr>
      </w:pPr>
      <w:r w:rsidRPr="00C12F9B">
        <w:rPr>
          <w:b/>
        </w:rPr>
        <w:t>Project title</w:t>
      </w:r>
      <w:r>
        <w:t xml:space="preserve">: </w:t>
      </w:r>
      <w:r w:rsidR="00126BD5">
        <w:rPr>
          <w:color w:val="000000" w:themeColor="text1"/>
        </w:rPr>
        <w:t>Evaluation of Ga</w:t>
      </w:r>
      <w:r w:rsidR="00126BD5" w:rsidRPr="00EE60B0">
        <w:rPr>
          <w:color w:val="000000" w:themeColor="text1"/>
          <w:vertAlign w:val="subscript"/>
        </w:rPr>
        <w:t>0.2</w:t>
      </w:r>
      <w:r w:rsidR="00126BD5">
        <w:rPr>
          <w:color w:val="000000" w:themeColor="text1"/>
        </w:rPr>
        <w:t>Li</w:t>
      </w:r>
      <w:r w:rsidR="00126BD5" w:rsidRPr="00EE60B0">
        <w:rPr>
          <w:color w:val="000000" w:themeColor="text1"/>
          <w:vertAlign w:val="subscript"/>
        </w:rPr>
        <w:t>6.4</w:t>
      </w:r>
      <w:r w:rsidR="00126BD5">
        <w:rPr>
          <w:color w:val="000000" w:themeColor="text1"/>
        </w:rPr>
        <w:t>Nd</w:t>
      </w:r>
      <w:r w:rsidR="00126BD5" w:rsidRPr="00EE60B0">
        <w:rPr>
          <w:color w:val="000000" w:themeColor="text1"/>
          <w:vertAlign w:val="subscript"/>
        </w:rPr>
        <w:t>3</w:t>
      </w:r>
      <w:r w:rsidR="00126BD5">
        <w:rPr>
          <w:color w:val="000000" w:themeColor="text1"/>
        </w:rPr>
        <w:t>Zr</w:t>
      </w:r>
      <w:r w:rsidR="00126BD5" w:rsidRPr="00EE60B0">
        <w:rPr>
          <w:color w:val="000000" w:themeColor="text1"/>
          <w:vertAlign w:val="subscript"/>
        </w:rPr>
        <w:t>2</w:t>
      </w:r>
      <w:r w:rsidR="00126BD5">
        <w:rPr>
          <w:color w:val="000000" w:themeColor="text1"/>
        </w:rPr>
        <w:t>O</w:t>
      </w:r>
      <w:r w:rsidR="00126BD5" w:rsidRPr="00EE60B0">
        <w:rPr>
          <w:color w:val="000000" w:themeColor="text1"/>
          <w:vertAlign w:val="subscript"/>
        </w:rPr>
        <w:t>12</w:t>
      </w:r>
      <w:r w:rsidR="00126BD5">
        <w:rPr>
          <w:color w:val="000000" w:themeColor="text1"/>
        </w:rPr>
        <w:t xml:space="preserve"> garnets: exploiting dopant instability to create a mixed conductive interface to reduce interfacial resistance for all solid state batteries. </w:t>
      </w:r>
    </w:p>
    <w:p w14:paraId="466FCC04" w14:textId="77777777" w:rsidR="000F06C6" w:rsidRDefault="000F06C6">
      <w:r>
        <w:t>The following files have been archived:</w:t>
      </w:r>
    </w:p>
    <w:p w14:paraId="3295B498" w14:textId="77777777" w:rsidR="002B1790" w:rsidRPr="00C05C33" w:rsidRDefault="002B1790" w:rsidP="002B1790">
      <w:pPr>
        <w:pStyle w:val="Heading3"/>
      </w:pPr>
      <w:r w:rsidRPr="00C05C33">
        <w:t>Abstract</w:t>
      </w:r>
    </w:p>
    <w:p w14:paraId="1158FCB6" w14:textId="77777777" w:rsidR="00126BD5" w:rsidRPr="00EE60B0" w:rsidRDefault="00126BD5" w:rsidP="00126BD5">
      <w:pPr>
        <w:spacing w:line="360" w:lineRule="auto"/>
        <w:jc w:val="both"/>
        <w:rPr>
          <w:vertAlign w:val="superscript"/>
        </w:rPr>
      </w:pPr>
      <w:r>
        <w:t>The next major leap in energy storage is thought to arise from a practical implementation of all solid-state batteries, which remain largely confined to the small scale due to issues in manufacturing and mechanical stability. Lithium batteries are amongst the most sought after, for the high expected energy density and improved safety characteristics, however the challenge of finding a suitable solid-state electrolyte remains. Lithium rich garnets are prime contenders as electrolytes, owing to their high ionic conductivity (&gt; 0.1 mS cm</w:t>
      </w:r>
      <w:r w:rsidRPr="00130164">
        <w:rPr>
          <w:vertAlign w:val="superscript"/>
        </w:rPr>
        <w:t>-1</w:t>
      </w:r>
      <w:r>
        <w:t>), wide electrochemical window (0 – 6 V) and stability with Li metal. However, the high Young’s modulus of these materials, poor wetting of Li metal and rapid formation of Li</w:t>
      </w:r>
      <w:r w:rsidRPr="00130164">
        <w:rPr>
          <w:vertAlign w:val="subscript"/>
        </w:rPr>
        <w:t>2</w:t>
      </w:r>
      <w:r>
        <w:t>CO</w:t>
      </w:r>
      <w:r w:rsidRPr="00130164">
        <w:rPr>
          <w:vertAlign w:val="subscript"/>
        </w:rPr>
        <w:t>3</w:t>
      </w:r>
      <w:r>
        <w:t xml:space="preserve"> passivating layers tends to give a detrimentally large resistance at the solid-solid interface, limiting their application in solid state batteries. Most studies have focused on La based systems, with very little work on other lanthanides. Here we report a study of the Nd based garnet Ga</w:t>
      </w:r>
      <w:r w:rsidRPr="00EE60B0">
        <w:rPr>
          <w:vertAlign w:val="subscript"/>
        </w:rPr>
        <w:t>0.2</w:t>
      </w:r>
      <w:r>
        <w:t>Li</w:t>
      </w:r>
      <w:r w:rsidRPr="00EE60B0">
        <w:rPr>
          <w:vertAlign w:val="subscript"/>
        </w:rPr>
        <w:t>6.4</w:t>
      </w:r>
      <w:r>
        <w:t>Nd</w:t>
      </w:r>
      <w:r w:rsidRPr="00EE60B0">
        <w:rPr>
          <w:vertAlign w:val="subscript"/>
        </w:rPr>
        <w:t>3</w:t>
      </w:r>
      <w:r>
        <w:t>Zr</w:t>
      </w:r>
      <w:r w:rsidRPr="00EE60B0">
        <w:rPr>
          <w:vertAlign w:val="subscript"/>
        </w:rPr>
        <w:t>2</w:t>
      </w:r>
      <w:r>
        <w:t>O</w:t>
      </w:r>
      <w:r w:rsidRPr="00EE60B0">
        <w:rPr>
          <w:vertAlign w:val="subscript"/>
        </w:rPr>
        <w:t>12</w:t>
      </w:r>
      <w:r>
        <w:t xml:space="preserve">, illustrating substantial differences in the interfacial behaviour. This garnet shows very low interfacial resistance attributed to dopant exsolution which, when combined with moderate heating (175°C, 1h) with Li metal, we suggest forms Ga-Li eutectics which significantly reduces the resistance at the Li/Garnet interface to as low as 67 </w:t>
      </w:r>
      <w:r w:rsidRPr="00EE60B0">
        <w:t>Ω</w:t>
      </w:r>
      <w:r>
        <w:t xml:space="preserve"> cm</w:t>
      </w:r>
      <w:r>
        <w:rPr>
          <w:vertAlign w:val="superscript"/>
        </w:rPr>
        <w:t>2</w:t>
      </w:r>
      <w:r>
        <w:t xml:space="preserve"> (much lower than equivalent La based systems). The material also shows intrinsically high density (93%) and good conductivity (</w:t>
      </w:r>
      <w:r w:rsidRPr="002C746A">
        <w:t>≥</w:t>
      </w:r>
      <w:r>
        <w:t xml:space="preserve"> 0.2 mS cm</w:t>
      </w:r>
      <w:r w:rsidRPr="00EE60B0">
        <w:rPr>
          <w:vertAlign w:val="superscript"/>
        </w:rPr>
        <w:t>-1</w:t>
      </w:r>
      <w:r>
        <w:t>) via conventional furnaces in air. It is suggested these garnets are particularly well suited to provide a mixed conductive interface (in combination with other garnets) which could enable future solid-state batteries.</w:t>
      </w:r>
      <w:r>
        <w:br w:type="page"/>
      </w:r>
    </w:p>
    <w:p w14:paraId="47AE80A4" w14:textId="77777777" w:rsidR="002B1790" w:rsidRDefault="002B1790" w:rsidP="002B1790"/>
    <w:tbl>
      <w:tblPr>
        <w:tblStyle w:val="TableGrid"/>
        <w:tblW w:w="0" w:type="auto"/>
        <w:tblLayout w:type="fixed"/>
        <w:tblLook w:val="04A0" w:firstRow="1" w:lastRow="0" w:firstColumn="1" w:lastColumn="0" w:noHBand="0" w:noVBand="1"/>
      </w:tblPr>
      <w:tblGrid>
        <w:gridCol w:w="4106"/>
        <w:gridCol w:w="4910"/>
      </w:tblGrid>
      <w:tr w:rsidR="002B1790" w14:paraId="3018EDDD" w14:textId="77777777" w:rsidTr="00D91DA7">
        <w:tc>
          <w:tcPr>
            <w:tcW w:w="4106" w:type="dxa"/>
          </w:tcPr>
          <w:p w14:paraId="0C89FA75" w14:textId="77777777" w:rsidR="002B1790" w:rsidRPr="00F10BA6" w:rsidRDefault="002B1790" w:rsidP="00D91DA7">
            <w:pPr>
              <w:rPr>
                <w:b/>
              </w:rPr>
            </w:pPr>
            <w:r w:rsidRPr="00F10BA6">
              <w:rPr>
                <w:b/>
              </w:rPr>
              <w:t>File name</w:t>
            </w:r>
          </w:p>
        </w:tc>
        <w:tc>
          <w:tcPr>
            <w:tcW w:w="4910" w:type="dxa"/>
          </w:tcPr>
          <w:p w14:paraId="245A1D0B" w14:textId="77777777" w:rsidR="002B1790" w:rsidRPr="00F10BA6" w:rsidRDefault="002B1790" w:rsidP="00D91DA7">
            <w:pPr>
              <w:rPr>
                <w:b/>
              </w:rPr>
            </w:pPr>
            <w:r w:rsidRPr="00F10BA6">
              <w:rPr>
                <w:b/>
              </w:rPr>
              <w:t>Description</w:t>
            </w:r>
          </w:p>
        </w:tc>
      </w:tr>
      <w:tr w:rsidR="002B1790" w14:paraId="47A79242" w14:textId="77777777" w:rsidTr="00D91DA7">
        <w:tc>
          <w:tcPr>
            <w:tcW w:w="9016" w:type="dxa"/>
            <w:gridSpan w:val="2"/>
            <w:shd w:val="clear" w:color="auto" w:fill="D9D9D9" w:themeFill="background1" w:themeFillShade="D9"/>
            <w:vAlign w:val="center"/>
          </w:tcPr>
          <w:p w14:paraId="4769F9F9" w14:textId="77777777" w:rsidR="002B1790" w:rsidRPr="00875556" w:rsidRDefault="002B1790" w:rsidP="00D91DA7">
            <w:r w:rsidRPr="00875556">
              <w:t>Data files</w:t>
            </w:r>
          </w:p>
        </w:tc>
      </w:tr>
      <w:tr w:rsidR="002B1790" w14:paraId="4EAC34CE" w14:textId="77777777" w:rsidTr="00D91DA7">
        <w:tc>
          <w:tcPr>
            <w:tcW w:w="4106" w:type="dxa"/>
          </w:tcPr>
          <w:p w14:paraId="02A2CECA" w14:textId="670FB70F" w:rsidR="002B1790" w:rsidRPr="00DF2150" w:rsidRDefault="00126BD5" w:rsidP="00D91DA7">
            <w:r>
              <w:t xml:space="preserve">Impedance folder – contains impedance spectroscopy data for </w:t>
            </w:r>
            <w:r w:rsidRPr="00126BD5">
              <w:t>of Li</w:t>
            </w:r>
            <w:r w:rsidRPr="00126BD5">
              <w:rPr>
                <w:vertAlign w:val="subscript"/>
              </w:rPr>
              <w:t>5+x</w:t>
            </w:r>
            <w:r w:rsidRPr="00126BD5">
              <w:t>Nd</w:t>
            </w:r>
            <w:r w:rsidRPr="00126BD5">
              <w:rPr>
                <w:vertAlign w:val="subscript"/>
              </w:rPr>
              <w:t>3</w:t>
            </w:r>
            <w:r w:rsidRPr="00126BD5">
              <w:t>Nb</w:t>
            </w:r>
            <w:r w:rsidRPr="00126BD5">
              <w:rPr>
                <w:vertAlign w:val="subscript"/>
              </w:rPr>
              <w:t>2-x</w:t>
            </w:r>
            <w:r w:rsidRPr="00126BD5">
              <w:t>Zr</w:t>
            </w:r>
            <w:r w:rsidRPr="00126BD5">
              <w:rPr>
                <w:vertAlign w:val="subscript"/>
              </w:rPr>
              <w:t>x</w:t>
            </w:r>
            <w:r w:rsidRPr="00126BD5">
              <w:t>O</w:t>
            </w:r>
            <w:r w:rsidRPr="00126BD5">
              <w:rPr>
                <w:vertAlign w:val="subscript"/>
              </w:rPr>
              <w:t>12</w:t>
            </w:r>
            <w:r w:rsidRPr="00126BD5">
              <w:t xml:space="preserve"> (0 ≤ x ≥ 2) and Li</w:t>
            </w:r>
            <w:r w:rsidRPr="00126BD5">
              <w:rPr>
                <w:vertAlign w:val="subscript"/>
              </w:rPr>
              <w:t>6.4</w:t>
            </w:r>
            <w:r>
              <w:t>, M</w:t>
            </w:r>
            <w:r w:rsidRPr="00126BD5">
              <w:rPr>
                <w:vertAlign w:val="subscript"/>
              </w:rPr>
              <w:t>0.2</w:t>
            </w:r>
            <w:r w:rsidRPr="00126BD5">
              <w:t>Nd</w:t>
            </w:r>
            <w:r w:rsidRPr="00126BD5">
              <w:rPr>
                <w:vertAlign w:val="subscript"/>
              </w:rPr>
              <w:t>3</w:t>
            </w:r>
            <w:r w:rsidRPr="00126BD5">
              <w:t>Zr</w:t>
            </w:r>
            <w:r w:rsidRPr="00126BD5">
              <w:rPr>
                <w:vertAlign w:val="subscript"/>
              </w:rPr>
              <w:t>2</w:t>
            </w:r>
            <w:r w:rsidRPr="00126BD5">
              <w:t>O</w:t>
            </w:r>
            <w:r w:rsidRPr="00126BD5">
              <w:rPr>
                <w:vertAlign w:val="subscript"/>
              </w:rPr>
              <w:t>12</w:t>
            </w:r>
            <w:r w:rsidRPr="00126BD5">
              <w:t xml:space="preserve"> (</w:t>
            </w:r>
            <w:r>
              <w:t>M = Al/Ga</w:t>
            </w:r>
            <w:r w:rsidRPr="00126BD5">
              <w:t>).</w:t>
            </w:r>
          </w:p>
        </w:tc>
        <w:tc>
          <w:tcPr>
            <w:tcW w:w="4910" w:type="dxa"/>
          </w:tcPr>
          <w:p w14:paraId="3AE3C292" w14:textId="77777777" w:rsidR="002B1790" w:rsidRDefault="002B1790" w:rsidP="00D91DA7">
            <w:r>
              <w:t xml:space="preserve">Impedance spectroscopy measurements at difference temperatures </w:t>
            </w:r>
          </w:p>
        </w:tc>
      </w:tr>
      <w:tr w:rsidR="002B1790" w14:paraId="4571B83A" w14:textId="77777777" w:rsidTr="00D91DA7">
        <w:tc>
          <w:tcPr>
            <w:tcW w:w="4106" w:type="dxa"/>
          </w:tcPr>
          <w:p w14:paraId="3F72A48B" w14:textId="3BD4B8B3" w:rsidR="002B1790" w:rsidRPr="00DF2150" w:rsidRDefault="00126BD5" w:rsidP="00D91DA7">
            <w:r>
              <w:t>Impedance_2 folder</w:t>
            </w:r>
          </w:p>
        </w:tc>
        <w:tc>
          <w:tcPr>
            <w:tcW w:w="4910" w:type="dxa"/>
          </w:tcPr>
          <w:p w14:paraId="2C1F3CF1" w14:textId="77777777" w:rsidR="002B1790" w:rsidRDefault="002B1790" w:rsidP="00D91DA7">
            <w:r>
              <w:t>Impedance spectroscopy measurements at difference temperatures</w:t>
            </w:r>
          </w:p>
        </w:tc>
      </w:tr>
      <w:tr w:rsidR="002B1790" w14:paraId="729085FF" w14:textId="77777777" w:rsidTr="00D91DA7">
        <w:tc>
          <w:tcPr>
            <w:tcW w:w="4106" w:type="dxa"/>
          </w:tcPr>
          <w:p w14:paraId="3AB4B55C" w14:textId="5345575B" w:rsidR="002B1790" w:rsidRPr="004848DE" w:rsidRDefault="00126BD5" w:rsidP="00D91DA7">
            <w:r w:rsidRPr="00126BD5">
              <w:t>X-ray diffraction</w:t>
            </w:r>
            <w:r>
              <w:t xml:space="preserve"> Folder</w:t>
            </w:r>
          </w:p>
        </w:tc>
        <w:tc>
          <w:tcPr>
            <w:tcW w:w="4910" w:type="dxa"/>
          </w:tcPr>
          <w:p w14:paraId="419E5786" w14:textId="4B7CE084" w:rsidR="002B1790" w:rsidRDefault="00126BD5" w:rsidP="00D91DA7">
            <w:r w:rsidRPr="00126BD5">
              <w:t>X-ray diffraction</w:t>
            </w:r>
            <w:r>
              <w:t xml:space="preserve"> patterns for </w:t>
            </w:r>
            <w:r w:rsidRPr="00126BD5">
              <w:t>of Li</w:t>
            </w:r>
            <w:r w:rsidRPr="00126BD5">
              <w:rPr>
                <w:vertAlign w:val="subscript"/>
              </w:rPr>
              <w:t>5+x</w:t>
            </w:r>
            <w:r w:rsidRPr="00126BD5">
              <w:t>Nd</w:t>
            </w:r>
            <w:r w:rsidRPr="00126BD5">
              <w:rPr>
                <w:vertAlign w:val="subscript"/>
              </w:rPr>
              <w:t>3</w:t>
            </w:r>
            <w:r w:rsidRPr="00126BD5">
              <w:t>Nb</w:t>
            </w:r>
            <w:r w:rsidRPr="00126BD5">
              <w:rPr>
                <w:vertAlign w:val="subscript"/>
              </w:rPr>
              <w:t>2-x</w:t>
            </w:r>
            <w:r w:rsidRPr="00126BD5">
              <w:t>Zr</w:t>
            </w:r>
            <w:r w:rsidRPr="00126BD5">
              <w:rPr>
                <w:vertAlign w:val="subscript"/>
              </w:rPr>
              <w:t>x</w:t>
            </w:r>
            <w:r w:rsidRPr="00126BD5">
              <w:t>O</w:t>
            </w:r>
            <w:r w:rsidRPr="00126BD5">
              <w:rPr>
                <w:vertAlign w:val="subscript"/>
              </w:rPr>
              <w:t>12</w:t>
            </w:r>
            <w:r w:rsidRPr="00126BD5">
              <w:t xml:space="preserve"> (0 ≤ x ≥ 2) and Li</w:t>
            </w:r>
            <w:r w:rsidRPr="00126BD5">
              <w:rPr>
                <w:vertAlign w:val="subscript"/>
              </w:rPr>
              <w:t>6.4</w:t>
            </w:r>
            <w:r>
              <w:t>, M</w:t>
            </w:r>
            <w:r w:rsidRPr="00126BD5">
              <w:rPr>
                <w:vertAlign w:val="subscript"/>
              </w:rPr>
              <w:t>0.2</w:t>
            </w:r>
            <w:r w:rsidRPr="00126BD5">
              <w:t>Nd</w:t>
            </w:r>
            <w:r w:rsidRPr="00126BD5">
              <w:rPr>
                <w:vertAlign w:val="subscript"/>
              </w:rPr>
              <w:t>3</w:t>
            </w:r>
            <w:r w:rsidRPr="00126BD5">
              <w:t>Zr</w:t>
            </w:r>
            <w:r w:rsidRPr="00126BD5">
              <w:rPr>
                <w:vertAlign w:val="subscript"/>
              </w:rPr>
              <w:t>2</w:t>
            </w:r>
            <w:r w:rsidRPr="00126BD5">
              <w:t>O</w:t>
            </w:r>
            <w:r w:rsidRPr="00126BD5">
              <w:rPr>
                <w:vertAlign w:val="subscript"/>
              </w:rPr>
              <w:t>12</w:t>
            </w:r>
            <w:r w:rsidRPr="00126BD5">
              <w:t xml:space="preserve"> (</w:t>
            </w:r>
            <w:r>
              <w:t>M = Al/Ga</w:t>
            </w:r>
            <w:r w:rsidRPr="00126BD5">
              <w:t>).</w:t>
            </w:r>
          </w:p>
        </w:tc>
      </w:tr>
      <w:tr w:rsidR="002B1790" w14:paraId="780EF989" w14:textId="77777777" w:rsidTr="00D91DA7">
        <w:tc>
          <w:tcPr>
            <w:tcW w:w="4106" w:type="dxa"/>
          </w:tcPr>
          <w:p w14:paraId="2D716B11" w14:textId="6FE6D739" w:rsidR="002B1790" w:rsidRPr="004848DE" w:rsidRDefault="00126BD5" w:rsidP="00D91DA7">
            <w:r>
              <w:t>Cell cycling</w:t>
            </w:r>
          </w:p>
        </w:tc>
        <w:tc>
          <w:tcPr>
            <w:tcW w:w="4910" w:type="dxa"/>
          </w:tcPr>
          <w:p w14:paraId="73254683" w14:textId="6415D468" w:rsidR="002B1790" w:rsidRPr="00126BD5" w:rsidRDefault="00126BD5" w:rsidP="00D91DA7">
            <w:r>
              <w:t>Symmetry cell cycling for Ga</w:t>
            </w:r>
            <w:r w:rsidRPr="00126BD5">
              <w:rPr>
                <w:vertAlign w:val="subscript"/>
              </w:rPr>
              <w:t>0.2</w:t>
            </w:r>
            <w:r w:rsidRPr="00126BD5">
              <w:t>Nd</w:t>
            </w:r>
            <w:r w:rsidRPr="00126BD5">
              <w:rPr>
                <w:vertAlign w:val="subscript"/>
              </w:rPr>
              <w:t>3</w:t>
            </w:r>
            <w:r w:rsidRPr="00126BD5">
              <w:t>Zr</w:t>
            </w:r>
            <w:r w:rsidRPr="00126BD5">
              <w:rPr>
                <w:vertAlign w:val="subscript"/>
              </w:rPr>
              <w:t>2</w:t>
            </w:r>
            <w:r w:rsidRPr="00126BD5">
              <w:t>O</w:t>
            </w:r>
            <w:r w:rsidRPr="00126BD5">
              <w:rPr>
                <w:vertAlign w:val="subscript"/>
              </w:rPr>
              <w:t>12</w:t>
            </w:r>
            <w:r>
              <w:rPr>
                <w:vertAlign w:val="subscript"/>
              </w:rPr>
              <w:t xml:space="preserve"> </w:t>
            </w:r>
            <w:r>
              <w:t>and cyclic voltammetry data</w:t>
            </w:r>
          </w:p>
        </w:tc>
      </w:tr>
    </w:tbl>
    <w:p w14:paraId="58B3F020" w14:textId="77777777" w:rsidR="002B1790" w:rsidRPr="00DC6261" w:rsidRDefault="002B1790" w:rsidP="002B1790"/>
    <w:p w14:paraId="22EE3819" w14:textId="77777777" w:rsidR="000F06C6" w:rsidRDefault="000F06C6"/>
    <w:p w14:paraId="13217941" w14:textId="77777777" w:rsidR="00126BD5" w:rsidRPr="002B1790" w:rsidRDefault="00C12F9B" w:rsidP="00126BD5">
      <w:pPr>
        <w:spacing w:line="360" w:lineRule="auto"/>
        <w:jc w:val="center"/>
        <w:rPr>
          <w:color w:val="000000" w:themeColor="text1"/>
        </w:rPr>
      </w:pPr>
      <w:r w:rsidRPr="00C12F9B">
        <w:rPr>
          <w:b/>
        </w:rPr>
        <w:t>Publications</w:t>
      </w:r>
      <w:r w:rsidRPr="00C12F9B">
        <w:t>:</w:t>
      </w:r>
      <w:r>
        <w:t xml:space="preserve"> </w:t>
      </w:r>
      <w:r w:rsidR="00126BD5">
        <w:rPr>
          <w:color w:val="000000" w:themeColor="text1"/>
        </w:rPr>
        <w:t>Evaluation of Ga</w:t>
      </w:r>
      <w:r w:rsidR="00126BD5" w:rsidRPr="00EE60B0">
        <w:rPr>
          <w:color w:val="000000" w:themeColor="text1"/>
          <w:vertAlign w:val="subscript"/>
        </w:rPr>
        <w:t>0.2</w:t>
      </w:r>
      <w:r w:rsidR="00126BD5">
        <w:rPr>
          <w:color w:val="000000" w:themeColor="text1"/>
        </w:rPr>
        <w:t>Li</w:t>
      </w:r>
      <w:r w:rsidR="00126BD5" w:rsidRPr="00EE60B0">
        <w:rPr>
          <w:color w:val="000000" w:themeColor="text1"/>
          <w:vertAlign w:val="subscript"/>
        </w:rPr>
        <w:t>6.4</w:t>
      </w:r>
      <w:r w:rsidR="00126BD5">
        <w:rPr>
          <w:color w:val="000000" w:themeColor="text1"/>
        </w:rPr>
        <w:t>Nd</w:t>
      </w:r>
      <w:r w:rsidR="00126BD5" w:rsidRPr="00EE60B0">
        <w:rPr>
          <w:color w:val="000000" w:themeColor="text1"/>
          <w:vertAlign w:val="subscript"/>
        </w:rPr>
        <w:t>3</w:t>
      </w:r>
      <w:r w:rsidR="00126BD5">
        <w:rPr>
          <w:color w:val="000000" w:themeColor="text1"/>
        </w:rPr>
        <w:t>Zr</w:t>
      </w:r>
      <w:r w:rsidR="00126BD5" w:rsidRPr="00EE60B0">
        <w:rPr>
          <w:color w:val="000000" w:themeColor="text1"/>
          <w:vertAlign w:val="subscript"/>
        </w:rPr>
        <w:t>2</w:t>
      </w:r>
      <w:r w:rsidR="00126BD5">
        <w:rPr>
          <w:color w:val="000000" w:themeColor="text1"/>
        </w:rPr>
        <w:t>O</w:t>
      </w:r>
      <w:r w:rsidR="00126BD5" w:rsidRPr="00EE60B0">
        <w:rPr>
          <w:color w:val="000000" w:themeColor="text1"/>
          <w:vertAlign w:val="subscript"/>
        </w:rPr>
        <w:t>12</w:t>
      </w:r>
      <w:r w:rsidR="00126BD5">
        <w:rPr>
          <w:color w:val="000000" w:themeColor="text1"/>
        </w:rPr>
        <w:t xml:space="preserve"> garnets: exploiting dopant instability to create a mixed conductive interface to reduce interfacial resistance for all solid state batteries. </w:t>
      </w:r>
    </w:p>
    <w:p w14:paraId="27EAE216" w14:textId="06357860" w:rsidR="00C12F9B" w:rsidRDefault="00C12F9B"/>
    <w:p w14:paraId="78F03902"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wNDGzMDYxMTA3MTFV0lEKTi0uzszPAykwrAUAPdHsMSwAAAA="/>
  </w:docVars>
  <w:rsids>
    <w:rsidRoot w:val="00DD1FA8"/>
    <w:rsid w:val="000F06C6"/>
    <w:rsid w:val="00121130"/>
    <w:rsid w:val="00126BD5"/>
    <w:rsid w:val="001D3D77"/>
    <w:rsid w:val="002B1790"/>
    <w:rsid w:val="00377F0F"/>
    <w:rsid w:val="003B3C82"/>
    <w:rsid w:val="00414A0E"/>
    <w:rsid w:val="00684A3C"/>
    <w:rsid w:val="009D076B"/>
    <w:rsid w:val="00AB4786"/>
    <w:rsid w:val="00AB5DC8"/>
    <w:rsid w:val="00AE4335"/>
    <w:rsid w:val="00C12F9B"/>
    <w:rsid w:val="00DD1FA8"/>
    <w:rsid w:val="00DF46E1"/>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F9E7"/>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B179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1790"/>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Angeliki Andrikopoulou</cp:lastModifiedBy>
  <cp:revision>2</cp:revision>
  <dcterms:created xsi:type="dcterms:W3CDTF">2021-08-31T14:44:00Z</dcterms:created>
  <dcterms:modified xsi:type="dcterms:W3CDTF">2021-08-31T14:44:00Z</dcterms:modified>
</cp:coreProperties>
</file>